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001-42291</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BingEx Limited</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6, Zhongguancun Dongsheng International Science Park</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 Yongtaizhuang North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Haidian District, Beijing 100192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Release—BingEx Limited Announces Second Quarter 2025 Financial Results</w:t>
            </w: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40" w:type="dxa"/>
            <w:vAlign w:val="bottom"/>
            <w:tcBorders>
              <w:top w:val="single" w:sz="8" w:color="0000EE"/>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Le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Le Tang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 Announces Second Quarter 2025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China, August 19, 2025 </w:t>
      </w:r>
      <w:r>
        <w:rPr>
          <w:rFonts w:ascii="Times New Roman" w:cs="Times New Roman" w:eastAsia="Times New Roman" w:hAnsi="Times New Roman"/>
          <w:sz w:val="18"/>
          <w:szCs w:val="18"/>
          <w:color w:val="auto"/>
        </w:rPr>
        <w:t>– BingEx Limited (the “Company”) (Nasdaq: FLX), a leading on-demand dedicated courier service provider in China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(branded as “FlashEx”), today announced its unaudited financial results for the second quarter ended June 30,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Highlights:</w:t>
      </w:r>
    </w:p>
    <w:p>
      <w:pPr>
        <w:spacing w:after="0" w:line="225" w:lineRule="exact"/>
        <w:rPr>
          <w:sz w:val="20"/>
          <w:szCs w:val="20"/>
          <w:color w:val="auto"/>
        </w:rPr>
      </w:pPr>
    </w:p>
    <w:p>
      <w:pPr>
        <w:ind w:left="980" w:hanging="324"/>
        <w:spacing w:after="0" w:line="28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RMB1,024.6 million (US$143.0 million) in the second quarter of 2025, compared with RMB1,176.7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w:t>
      </w:r>
    </w:p>
    <w:p>
      <w:pPr>
        <w:spacing w:after="0" w:line="15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RMB122.7 million (US$17.1 million) in the second quarter of 2025, compared with RMB127.0 million in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 Gross profit margin reached 12.0%, improving from 10.8% in the same period of 2024.</w:t>
      </w:r>
    </w:p>
    <w:p>
      <w:pPr>
        <w:spacing w:after="0" w:line="15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RMB19.3 million (US$2.7 million) in the second quarter of 2025, compared with RMB42.3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2024.</w:t>
      </w:r>
    </w:p>
    <w:p>
      <w:pPr>
        <w:spacing w:after="0" w:line="158" w:lineRule="exact"/>
        <w:rPr>
          <w:rFonts w:ascii="Times New Roman" w:cs="Times New Roman" w:eastAsia="Times New Roman" w:hAnsi="Times New Roman"/>
          <w:sz w:val="18"/>
          <w:szCs w:val="18"/>
          <w:color w:val="auto"/>
        </w:rPr>
      </w:pPr>
    </w:p>
    <w:p>
      <w:pPr>
        <w:ind w:left="980" w:right="20" w:hanging="324"/>
        <w:spacing w:after="0" w:line="189" w:lineRule="auto"/>
        <w:tabs>
          <w:tab w:leader="none" w:pos="98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RMB31.9 million (US$4.5 million) in the second quarter of 2025, compared with RMB42.3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period of 2024.</w:t>
      </w:r>
    </w:p>
    <w:p>
      <w:pPr>
        <w:spacing w:after="0" w:line="195" w:lineRule="exact"/>
        <w:rPr>
          <w:rFonts w:ascii="Times New Roman" w:cs="Times New Roman" w:eastAsia="Times New Roman" w:hAnsi="Times New Roman"/>
          <w:sz w:val="36"/>
          <w:szCs w:val="36"/>
          <w:color w:val="auto"/>
          <w:vertAlign w:val="superscript"/>
        </w:rPr>
      </w:pPr>
    </w:p>
    <w:p>
      <w:pPr>
        <w:ind w:left="980" w:hanging="324"/>
        <w:spacing w:after="0" w:line="28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RMB53.5 million (US$7.5 million) in the second quarter of 2025, compared with a net income of RMB59.1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2024.</w:t>
      </w:r>
    </w:p>
    <w:p>
      <w:pPr>
        <w:spacing w:after="0" w:line="158" w:lineRule="exact"/>
        <w:rPr>
          <w:rFonts w:ascii="Times New Roman" w:cs="Times New Roman" w:eastAsia="Times New Roman" w:hAnsi="Times New Roman"/>
          <w:sz w:val="18"/>
          <w:szCs w:val="18"/>
          <w:color w:val="auto"/>
        </w:rPr>
      </w:pPr>
    </w:p>
    <w:p>
      <w:pPr>
        <w:ind w:left="980" w:hanging="324"/>
        <w:spacing w:after="0" w:line="189" w:lineRule="auto"/>
        <w:tabs>
          <w:tab w:leader="none" w:pos="98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RMB45.6 million (US$6.4 million) in the second quarter of 2025, compared with RMB59.1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of 2024.</w:t>
      </w:r>
    </w:p>
    <w:p>
      <w:pPr>
        <w:spacing w:after="0" w:line="195" w:lineRule="exact"/>
        <w:rPr>
          <w:rFonts w:ascii="Times New Roman" w:cs="Times New Roman" w:eastAsia="Times New Roman" w:hAnsi="Times New Roman"/>
          <w:sz w:val="36"/>
          <w:szCs w:val="36"/>
          <w:color w:val="auto"/>
          <w:vertAlign w:val="superscript"/>
        </w:rPr>
      </w:pPr>
    </w:p>
    <w:p>
      <w:pPr>
        <w:ind w:left="980" w:right="20" w:hanging="324"/>
        <w:spacing w:after="0" w:line="28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ordinary shareholders </w:t>
      </w:r>
      <w:r>
        <w:rPr>
          <w:rFonts w:ascii="Times New Roman" w:cs="Times New Roman" w:eastAsia="Times New Roman" w:hAnsi="Times New Roman"/>
          <w:sz w:val="18"/>
          <w:szCs w:val="18"/>
          <w:color w:val="auto"/>
        </w:rPr>
        <w:t>was RMB53.5 million (US$7.5 million) in the second quarter of 2025, compared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income of RMB22.3 million in the same period of 2024.</w:t>
      </w:r>
    </w:p>
    <w:p>
      <w:pPr>
        <w:spacing w:after="0" w:line="158" w:lineRule="exact"/>
        <w:rPr>
          <w:rFonts w:ascii="Times New Roman" w:cs="Times New Roman" w:eastAsia="Times New Roman" w:hAnsi="Times New Roman"/>
          <w:sz w:val="18"/>
          <w:szCs w:val="18"/>
          <w:color w:val="auto"/>
        </w:rPr>
      </w:pPr>
    </w:p>
    <w:p>
      <w:pPr>
        <w:ind w:left="980" w:hanging="324"/>
        <w:spacing w:after="0" w:line="189" w:lineRule="auto"/>
        <w:tabs>
          <w:tab w:leader="none" w:pos="98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RMB45.6 million (US$6.4 million) in the second quarter of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RMB22.3 million in the same period of 2024.</w:t>
      </w:r>
    </w:p>
    <w:p>
      <w:pPr>
        <w:spacing w:after="0" w:line="195" w:lineRule="exact"/>
        <w:rPr>
          <w:rFonts w:ascii="Times New Roman" w:cs="Times New Roman" w:eastAsia="Times New Roman" w:hAnsi="Times New Roman"/>
          <w:sz w:val="36"/>
          <w:szCs w:val="36"/>
          <w:color w:val="auto"/>
          <w:vertAlign w:val="superscript"/>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number of orders fulfilled </w:t>
      </w:r>
      <w:r>
        <w:rPr>
          <w:rFonts w:ascii="Times New Roman" w:cs="Times New Roman" w:eastAsia="Times New Roman" w:hAnsi="Times New Roman"/>
          <w:sz w:val="18"/>
          <w:szCs w:val="18"/>
          <w:color w:val="auto"/>
        </w:rPr>
        <w:t>was 64.8 million in the second quarter of 2025.</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Adam Xue, Founder, Chairman, and Chief Executive Officer, commented, “In the second quarter of 2025, FlashEx adeptly navigated an increasingly competitive market by staying true to our differentiated positioning and sharpening our focus on service quality and operational excellence. Leveraging our distinctive on-demand, dedicated courier model, we delivered customized, high-value services while exploring new user scenarios, further expanding our ability to meet diverse needs. Meanwhile, deepening partnerships with enterprise clients and enhanced rider capabilities underpinned our results and reinforced our standing as the trusted leader in instant delivery. The on-demand retail market holds significant long-term potential, and FlashEx will continue to broaden its presence in this sector, unlocking new growth pathways to create enduring value for our customers, partners and shareholders.”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Luke Tang, Chief Financial Officer of FlashEx, said, “Given the diversity of our customers and business, the intense competition in food delivery and on-demand retail have had only a limited impact on our revenue and profit. We have continued to enhance operational efficiency. In the second quarter, our net income attributable to ordinary shareholders reached RMB53.5 million, showing a substantial increase compared with RMB22.3 million in the same period last year. As the on-demand, dedicated courier market expands, we expect to see more emerging opportunities that are ideally suited to our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1" w:lineRule="exact"/>
        <w:rPr>
          <w:sz w:val="20"/>
          <w:szCs w:val="20"/>
          <w:color w:val="auto"/>
        </w:rPr>
      </w:pPr>
    </w:p>
    <w:p>
      <w:pPr>
        <w:jc w:val="both"/>
        <w:ind w:firstLine="8"/>
        <w:spacing w:after="0" w:line="210"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income from operations, non-GAAP net income, non-GAAP net income attributable to ordinary shareholders, non-GAAP operating margin and non-GAAP net income margin are non-GAAP financial measures. For more information on non-GAAP financial measures, please see the section “Use of Non-GAAP Financial Measures” and the table captioned “Reconciliations of GAAP and Non-GAAP Results.”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RMB1,024.6 million (US$143.0 million) in the second quarter of 2025, compared with RMB1,176.7 million in the same period of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driven by a decline in order volume amid intensified market competition.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RMB901.9 million (US$125.9 million), compared with RMB1,049.8 million in the same period of 2024. The decrease was in 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decline in revenues.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RMB122.7 million (US$17.1 million), compared with RMB127.0 million in the same period of 2024. Gross profit margin was 12.0%,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10.8% in the same period of 2024.</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RMB103.4 million (US$14.4 million), representing an increase of 22.1% from RMB84.7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were RMB48.2 million (US$6.7 million), representing a 7.4% increase from RMB44.9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increase was primarily attributable to increases in share-based compensation expenses.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RMB36.0 million (US$5.0 million), representing an 82.5% increase from RMB19.7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 The increase was primarily attributable to increases in professional fees and share-based compensation expenses.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RMB19.2 million (US$2.7 million), remaining relatively stable compared with RMB20.1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RMB19.3 million (US$2.7 million), compared with RMB42.3 million in the same period of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RMB31.9 million (US$4.5 million), compared with RMB42.3 million in the same period of 2024.</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Changes in fair value of long-term investments </w:t>
      </w:r>
      <w:r>
        <w:rPr>
          <w:rFonts w:ascii="Times New Roman" w:cs="Times New Roman" w:eastAsia="Times New Roman" w:hAnsi="Times New Roman"/>
          <w:sz w:val="18"/>
          <w:szCs w:val="18"/>
          <w:color w:val="auto"/>
        </w:rPr>
        <w:t>were RMB20.5 million (US$2.9 million), primarily reflecting earnings in the fair value measurement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investments.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was RMB1.3 million (US$0.2 million), compared with RMB9.5 million in the same period of 2024. The decrease was mainly due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in the amount of government grants.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RMB53.5 million (US$7.5 million), compared with RMB59.1 million in the same period of 2024.</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RMB45.6 million (US$6.4 million), compared with RMB59.1 million in the same period of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attributable to ordinary shareholders </w:t>
      </w:r>
      <w:r>
        <w:rPr>
          <w:rFonts w:ascii="Times New Roman" w:cs="Times New Roman" w:eastAsia="Times New Roman" w:hAnsi="Times New Roman"/>
          <w:sz w:val="18"/>
          <w:szCs w:val="18"/>
          <w:color w:val="auto"/>
        </w:rPr>
        <w:t>was RMB53.5 million (US$7.5 million), compared with RMB22.3 million in the same period of 2024.</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color w:val="auto"/>
        </w:rPr>
        <w:t>Non-GAAP net income attributable to ordinary shareholders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RMB45.6 million (US$6.4 million), compared with RMB22.3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net earnings per ordinary share </w:t>
      </w:r>
      <w:r>
        <w:rPr>
          <w:rFonts w:ascii="Times New Roman" w:cs="Times New Roman" w:eastAsia="Times New Roman" w:hAnsi="Times New Roman"/>
          <w:sz w:val="18"/>
          <w:szCs w:val="18"/>
          <w:color w:val="auto"/>
        </w:rPr>
        <w:t>was RMB0.26 (US$0.04).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Diluted net earnings per ordinary share </w:t>
      </w:r>
      <w:r>
        <w:rPr>
          <w:rFonts w:ascii="Times New Roman" w:cs="Times New Roman" w:eastAsia="Times New Roman" w:hAnsi="Times New Roman"/>
          <w:sz w:val="18"/>
          <w:szCs w:val="18"/>
          <w:color w:val="auto"/>
        </w:rPr>
        <w:t>was RMB0.26 (US$0.04)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June 30, 2025, </w:t>
      </w: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18"/>
          <w:szCs w:val="18"/>
          <w:color w:val="auto"/>
        </w:rPr>
        <w:t xml:space="preserve"> were RMB827.8 million (US$115.6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Share Repurchase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Company’s share repurchase program, which was adopted in March 2025 with a maximum amount of up to US$30 million and effective through April 2026, as of August 18, 2025, the Company had repurchased a total of approximately 0.8 million ADSs in the open market with cash for an aggregate consideration of approximately US$2.6 million at an average price of US$3.1 per ADS.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an earnings conference call on Tuesday, August 19, 2025 at 8:00PM Beijing Time (8:00AM U.S. Eastern Time) to discuss the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required to pre-register for the conference call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https://register-conf.media-server.com/register/BI3857db826af14ea4b2f6d197e63fdee8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registration, participants will receive an email containing participant dial-in numbers and a personal PIN to join the conference call.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live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http://ir.ishansong.com</w:t>
      </w:r>
      <w:r>
        <w:rPr>
          <w:rFonts w:ascii="Times New Roman" w:cs="Times New Roman" w:eastAsia="Times New Roman" w:hAnsi="Times New Roman"/>
          <w:sz w:val="18"/>
          <w:szCs w:val="18"/>
          <w:color w:val="auto"/>
        </w:rPr>
        <w:t>, and a replay of the webcast will be available following the session.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BingEx Limited</w:t>
      </w:r>
    </w:p>
    <w:p>
      <w:pPr>
        <w:spacing w:after="0" w:line="229"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BingEx Limited (Nasdaq: FLX) is a pioneer in China in providing on-demand dedicated courier services for individual and business customers with superior time certainty, delivery safety and service quality. The company brands its services as “FlashEx,” or “</w:t>
      </w:r>
      <w:r>
        <w:rPr>
          <w:rFonts w:ascii="SimSun" w:cs="SimSun" w:eastAsia="SimSun" w:hAnsi="SimSun"/>
          <w:sz w:val="18"/>
          <w:szCs w:val="18"/>
          <w:color w:val="auto"/>
        </w:rPr>
        <w:t>闪送</w:t>
      </w:r>
      <w:r>
        <w:rPr>
          <w:rFonts w:ascii="Times New Roman" w:cs="Times New Roman" w:eastAsia="Times New Roman" w:hAnsi="Times New Roman"/>
          <w:sz w:val="18"/>
          <w:szCs w:val="18"/>
          <w:color w:val="auto"/>
        </w:rPr>
        <w:t>”. FlashEx has become synonymous with on-demand dedicated courier services in China. With a mission to make people’s lives better through its services, FlashEx remains dedicated to consistently providing a superior customer experience and offering a unique value proposition to all participants in its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http://ir.ishansong.co</w:t>
      </w:r>
      <w:r>
        <w:rPr>
          <w:rFonts w:ascii="Times New Roman" w:cs="Times New Roman" w:eastAsia="Times New Roman" w:hAnsi="Times New Roman"/>
          <w:sz w:val="18"/>
          <w:szCs w:val="18"/>
          <w:color w:val="auto"/>
        </w:rPr>
        <w:t>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supplement our financial results presented in accordance with U.S. GAAP, we use non-GAAP financial measures, namely non-GAAP income from operations, non-GAAP net income, non-GAAP net income attributable to ordinary shareholders, non-GAAP operating margin and non-GAAP net income margin, as supplemental measures to evaluate our operating results and make financial and operational decisions. Non-GAAP income from operations represents income (loss) from operations excluding share-based compensation expenses. Non-GAAP operating margin is equal to non-GAAP income from operations divided by revenues. Non-GAAP net income represents net income excluding changes in fair value of long-term investments and share-based compensation expenses. Non-GAAP net income margin is equal to non-GAAP net income divided by revenues. Non-GAAP net income attributable to ordinary shareholders represents net income attributable to ordinary shareholders excluding changes in fair value of long-term investments and share-based compensation expenses.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excluding the impact of changes in fair value of long-term investments and share-based compensation expenses, which are non-cash charges, we believe that non-GAAP financial measures help identify underlying trends in our business that could otherwise be distorted by the effect of certain earnings or losses that we include in results based on U.S. GAAP. We believe that non-GAAP financial measures provide useful information about our operating results, enhance the overall understanding of our past performance and future prospects and allow for greater visibility into key metrics used by our management in its financial and operational decision-making.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non-GAAP financial measures should be considered in addition to results prepared in accordance with U.S. GAAP, but should not be considered a substitute for or superior to U.S. GAAP results. In addition, our calculation of non-GAAP financial information may be different from the calculation used by other companies, and therefore comparability may be limited.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our non-GAAP results to our U.S. GAAP financial measures are set forth in tables at the end of this earnings release, which provide more details on the non-GAAP financial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(“USD”) at specified rates solely for the convenience of the reader. Unless otherwise stated, all translations from RMB to USD were made at the rate of RMB7.1636 to US$1.00, the exchange rate set forth in the H.10 statistical release of the Board of Governors of the Federal Reserve System as of June 30,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pursuant to the “safe harbor” provisions of the U.S. Private Securities Litigation Reform Act of 1995.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 some cases, these forward-looking statements can be identified by terminology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BingEx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ir@ishansong.com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Wu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FlashEx@thepiacentegroup.com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FlashEx@thepiacentegroup.com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0" w:type="dxa"/>
            <w:vAlign w:val="bottom"/>
            <w:gridSpan w:val="3"/>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4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20"/>
                <w:szCs w:val="20"/>
                <w:color w:val="auto"/>
              </w:rPr>
            </w:pPr>
          </w:p>
        </w:tc>
        <w:tc>
          <w:tcPr>
            <w:tcW w:w="24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60" w:type="dxa"/>
            <w:vAlign w:val="bottom"/>
          </w:tcPr>
          <w:p>
            <w:pPr>
              <w:spacing w:after="0"/>
              <w:rPr>
                <w:sz w:val="18"/>
                <w:szCs w:val="18"/>
                <w:color w:val="auto"/>
              </w:rPr>
            </w:pPr>
          </w:p>
        </w:tc>
        <w:tc>
          <w:tcPr>
            <w:tcW w:w="240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592,358</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499,434</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69,718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46,735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327</w:t>
            </w:r>
          </w:p>
        </w:tc>
        <w:tc>
          <w:tcPr>
            <w:tcW w:w="4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153,910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328,041</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45,793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16,893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20,546</w:t>
            </w:r>
          </w:p>
        </w:tc>
        <w:tc>
          <w:tcPr>
            <w:tcW w:w="4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2,868</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48,553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36,671</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5,119</w:t>
            </w: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858,449</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885,019</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123,544</w:t>
            </w:r>
          </w:p>
        </w:tc>
        <w:tc>
          <w:tcPr>
            <w:tcW w:w="100" w:type="dxa"/>
            <w:vAlign w:val="bottom"/>
            <w:tcBorders>
              <w:bottom w:val="single" w:sz="8" w:color="CCEEFF"/>
            </w:tcBorders>
          </w:tcPr>
          <w:p>
            <w:pPr>
              <w:spacing w:after="0"/>
              <w:rPr>
                <w:sz w:val="18"/>
                <w:szCs w:val="18"/>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324,110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300,621</w:t>
            </w:r>
          </w:p>
        </w:tc>
        <w:tc>
          <w:tcPr>
            <w:tcW w:w="4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41,965</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3,687</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2,723</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44,577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39,516</w:t>
            </w:r>
          </w:p>
        </w:tc>
        <w:tc>
          <w:tcPr>
            <w:tcW w:w="4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5,516</w:t>
            </w: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4,600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4,652</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376,974</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347,512</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48,510</w:t>
            </w:r>
          </w:p>
        </w:tc>
        <w:tc>
          <w:tcPr>
            <w:tcW w:w="100" w:type="dxa"/>
            <w:vAlign w:val="bottom"/>
            <w:tcBorders>
              <w:bottom w:val="single" w:sz="8" w:color="CCEEFF"/>
            </w:tcBorders>
          </w:tcPr>
          <w:p>
            <w:pPr>
              <w:spacing w:after="0"/>
              <w:rPr>
                <w:sz w:val="18"/>
                <w:szCs w:val="18"/>
                <w:color w:val="auto"/>
              </w:rPr>
            </w:pP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1,235,423</w:t>
            </w:r>
          </w:p>
        </w:tc>
        <w:tc>
          <w:tcPr>
            <w:tcW w:w="3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1,232,531</w:t>
            </w:r>
          </w:p>
        </w:tc>
        <w:tc>
          <w:tcPr>
            <w:tcW w:w="3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172,054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223,391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198,602</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27,724</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56,768</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54,099</w:t>
            </w:r>
          </w:p>
        </w:tc>
        <w:tc>
          <w:tcPr>
            <w:tcW w:w="4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7,552</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13,091</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13,553</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165,714</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133,704</w:t>
            </w:r>
          </w:p>
        </w:tc>
        <w:tc>
          <w:tcPr>
            <w:tcW w:w="4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18,663</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458,964</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399,958</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29,395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24,225</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3,382</w:t>
            </w: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29,395</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24,225</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3,382</w:t>
            </w:r>
          </w:p>
        </w:tc>
        <w:tc>
          <w:tcPr>
            <w:tcW w:w="100" w:type="dxa"/>
            <w:vAlign w:val="bottom"/>
            <w:tcBorders>
              <w:bottom w:val="single" w:sz="8" w:color="CCEEFF"/>
            </w:tcBorders>
          </w:tcPr>
          <w:p>
            <w:pPr>
              <w:spacing w:after="0"/>
              <w:rPr>
                <w:sz w:val="18"/>
                <w:szCs w:val="18"/>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488,359</w:t>
            </w:r>
          </w:p>
        </w:tc>
        <w:tc>
          <w:tcPr>
            <w:tcW w:w="36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424,183</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59,213</w:t>
            </w:r>
          </w:p>
        </w:tc>
        <w:tc>
          <w:tcPr>
            <w:tcW w:w="100" w:type="dxa"/>
            <w:vAlign w:val="bottom"/>
            <w:shd w:val="clear" w:color="auto" w:fill="CCEEFF"/>
          </w:tcPr>
          <w:p>
            <w:pPr>
              <w:spacing w:after="0"/>
              <w:rPr>
                <w:sz w:val="18"/>
                <w:szCs w:val="18"/>
                <w:color w:val="auto"/>
              </w:rPr>
            </w:pP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747,064</w:t>
            </w:r>
          </w:p>
        </w:tc>
        <w:tc>
          <w:tcPr>
            <w:tcW w:w="3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808,348</w:t>
            </w:r>
          </w:p>
        </w:tc>
        <w:tc>
          <w:tcPr>
            <w:tcW w:w="3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112,841</w:t>
            </w:r>
          </w:p>
        </w:tc>
        <w:tc>
          <w:tcPr>
            <w:tcW w:w="100" w:type="dxa"/>
            <w:vAlign w:val="bottom"/>
            <w:tcBorders>
              <w:bottom w:val="single" w:sz="8" w:color="CCEEFF"/>
            </w:tcBorders>
          </w:tcPr>
          <w:p>
            <w:pPr>
              <w:spacing w:after="0"/>
              <w:rPr>
                <w:sz w:val="18"/>
                <w:szCs w:val="18"/>
                <w:color w:val="auto"/>
              </w:rPr>
            </w:pPr>
          </w:p>
        </w:tc>
      </w:tr>
      <w:tr>
        <w:trPr>
          <w:trHeight w:val="223"/>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1,235,423</w:t>
            </w:r>
          </w:p>
        </w:tc>
        <w:tc>
          <w:tcPr>
            <w:tcW w:w="3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1,232,531</w:t>
            </w:r>
          </w:p>
        </w:tc>
        <w:tc>
          <w:tcPr>
            <w:tcW w:w="3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172,054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0" w:type="dxa"/>
            <w:vAlign w:val="bottom"/>
            <w:tcBorders>
              <w:bottom w:val="single" w:sz="8" w:color="auto"/>
            </w:tcBorders>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9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tcBorders>
              <w:bottom w:val="single" w:sz="8" w:color="auto"/>
            </w:tcBorders>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32"/>
        </w:trPr>
        <w:tc>
          <w:tcPr>
            <w:tcW w:w="2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3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194"/>
        </w:trPr>
        <w:tc>
          <w:tcPr>
            <w:tcW w:w="2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8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1,176,748</w:t>
            </w:r>
          </w:p>
        </w:tc>
        <w:tc>
          <w:tcPr>
            <w:tcW w:w="15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1,024,558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143,023</w:t>
            </w:r>
          </w:p>
        </w:tc>
        <w:tc>
          <w:tcPr>
            <w:tcW w:w="1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2,284,496</w:t>
            </w: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1,985,320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277,140</w:t>
            </w:r>
          </w:p>
        </w:tc>
      </w:t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8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(1,049,758)</w:t>
            </w:r>
          </w:p>
        </w:tc>
        <w:tc>
          <w:tcPr>
            <w:tcW w:w="15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(901,866)</w:t>
            </w:r>
          </w:p>
        </w:tc>
        <w:tc>
          <w:tcPr>
            <w:tcW w:w="220" w:type="dxa"/>
            <w:vAlign w:val="bottom"/>
          </w:tcPr>
          <w:p>
            <w:pPr>
              <w:spacing w:after="0"/>
              <w:rPr>
                <w:sz w:val="19"/>
                <w:szCs w:val="19"/>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(125,896)</w:t>
            </w:r>
          </w:p>
        </w:tc>
        <w:tc>
          <w:tcPr>
            <w:tcW w:w="1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(2,027,179)</w:t>
            </w: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(1,735,954)</w:t>
            </w: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(242,330)</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126,990</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122,692</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17,127</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257,317</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249,366</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88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(44,874)</w:t>
            </w:r>
          </w:p>
        </w:tc>
        <w:tc>
          <w:tcPr>
            <w:tcW w:w="15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(48,194)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(6,728)</w:t>
            </w:r>
          </w:p>
        </w:tc>
        <w:tc>
          <w:tcPr>
            <w:tcW w:w="1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(89,738)</w:t>
            </w: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(97,528)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(13,614)</w:t>
            </w: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88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(19,704)</w:t>
            </w:r>
          </w:p>
        </w:tc>
        <w:tc>
          <w:tcPr>
            <w:tcW w:w="15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(35,952)</w:t>
            </w:r>
          </w:p>
        </w:tc>
        <w:tc>
          <w:tcPr>
            <w:tcW w:w="220" w:type="dxa"/>
            <w:vAlign w:val="bottom"/>
          </w:tcPr>
          <w:p>
            <w:pPr>
              <w:spacing w:after="0"/>
              <w:rPr>
                <w:sz w:val="20"/>
                <w:szCs w:val="20"/>
                <w:color w:val="auto"/>
              </w:rPr>
            </w:pPr>
          </w:p>
        </w:tc>
        <w:tc>
          <w:tcPr>
            <w:tcW w:w="12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(5,019)</w:t>
            </w:r>
          </w:p>
        </w:tc>
        <w:tc>
          <w:tcPr>
            <w:tcW w:w="1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(45,505)</w:t>
            </w: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(73,849)</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(10,309)</w:t>
            </w: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88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(20,072)</w:t>
            </w:r>
          </w:p>
        </w:tc>
        <w:tc>
          <w:tcPr>
            <w:tcW w:w="15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(19,234)</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(2,685)</w:t>
            </w:r>
          </w:p>
        </w:tc>
        <w:tc>
          <w:tcPr>
            <w:tcW w:w="1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(41,306)</w:t>
            </w: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(48,716)</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r>
      <w:tr>
        <w:trPr>
          <w:trHeight w:val="209"/>
        </w:trPr>
        <w:tc>
          <w:tcPr>
            <w:tcW w:w="2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(84,650</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(103,380</w:t>
            </w:r>
          </w:p>
        </w:tc>
        <w:tc>
          <w:tcPr>
            <w:tcW w:w="36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(14,432</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(176,549</w:t>
            </w:r>
          </w:p>
        </w:tc>
        <w:tc>
          <w:tcPr>
            <w:tcW w:w="340" w:type="dxa"/>
            <w:vAlign w:val="bottom"/>
            <w:tcBorders>
              <w:bottom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(220,093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(30,723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42,340</w:t>
            </w:r>
          </w:p>
        </w:tc>
        <w:tc>
          <w:tcPr>
            <w:tcW w:w="3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19,312</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2,695</w:t>
            </w:r>
          </w:p>
        </w:tc>
        <w:tc>
          <w:tcPr>
            <w:tcW w:w="3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80,768</w:t>
            </w:r>
          </w:p>
        </w:tc>
        <w:tc>
          <w:tcPr>
            <w:tcW w:w="3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29,273</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4,087</w:t>
            </w:r>
          </w:p>
        </w:tc>
        <w:tc>
          <w:tcPr>
            <w:tcW w:w="100" w:type="dxa"/>
            <w:vAlign w:val="bottom"/>
            <w:shd w:val="clear" w:color="auto" w:fill="CCEEFF"/>
          </w:tcPr>
          <w:p>
            <w:pPr>
              <w:spacing w:after="0"/>
              <w:rPr>
                <w:sz w:val="18"/>
                <w:szCs w:val="18"/>
                <w:color w:val="auto"/>
              </w:rPr>
            </w:pPr>
          </w:p>
        </w:tc>
      </w:tr>
      <w:tr>
        <w:trPr>
          <w:trHeight w:val="20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8"/>
                <w:szCs w:val="18"/>
                <w:color w:val="auto"/>
              </w:rPr>
            </w:pPr>
          </w:p>
        </w:tc>
      </w:tr>
      <w:tr>
        <w:trPr>
          <w:trHeight w:val="198"/>
        </w:trPr>
        <w:tc>
          <w:tcPr>
            <w:tcW w:w="42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long-term</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88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20,539</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2,867</w:t>
            </w:r>
          </w:p>
        </w:tc>
        <w:tc>
          <w:tcPr>
            <w:tcW w:w="1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(22,719)</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88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1,456</w:t>
            </w:r>
          </w:p>
        </w:tc>
        <w:tc>
          <w:tcPr>
            <w:tcW w:w="15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9,184</w:t>
            </w:r>
          </w:p>
        </w:tc>
        <w:tc>
          <w:tcPr>
            <w:tcW w:w="220" w:type="dxa"/>
            <w:vAlign w:val="bottom"/>
          </w:tcPr>
          <w:p>
            <w:pPr>
              <w:spacing w:after="0"/>
              <w:rPr>
                <w:sz w:val="18"/>
                <w:szCs w:val="18"/>
                <w:color w:val="auto"/>
              </w:rPr>
            </w:pPr>
          </w:p>
        </w:tc>
        <w:tc>
          <w:tcPr>
            <w:tcW w:w="12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1,282</w:t>
            </w: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2,556</w:t>
            </w: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18,096</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2,526</w:t>
            </w:r>
          </w:p>
        </w:tc>
      </w:tr>
      <w:tr>
        <w:trPr>
          <w:trHeight w:val="22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8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9,498</w:t>
            </w:r>
          </w:p>
        </w:tc>
        <w:tc>
          <w:tcPr>
            <w:tcW w:w="15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1,281</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179</w:t>
            </w:r>
          </w:p>
        </w:tc>
        <w:tc>
          <w:tcPr>
            <w:tcW w:w="1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28,528</w:t>
            </w: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11,141</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1,555</w:t>
            </w:r>
          </w:p>
        </w:tc>
      </w:tr>
      <w:tr>
        <w:trPr>
          <w:trHeight w:val="209"/>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59,183</w:t>
            </w:r>
          </w:p>
        </w:tc>
        <w:tc>
          <w:tcPr>
            <w:tcW w:w="3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53,495</w:t>
            </w: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7,467</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123,751</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43,261</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6,040</w:t>
            </w:r>
          </w:p>
        </w:tc>
        <w:tc>
          <w:tcPr>
            <w:tcW w:w="100" w:type="dxa"/>
            <w:vAlign w:val="bottom"/>
          </w:tcPr>
          <w:p>
            <w:pPr>
              <w:spacing w:after="0"/>
              <w:rPr>
                <w:sz w:val="18"/>
                <w:szCs w:val="18"/>
                <w:color w:val="auto"/>
              </w:rPr>
            </w:pPr>
          </w:p>
        </w:tc>
      </w:tr>
      <w:tr>
        <w:trPr>
          <w:trHeight w:val="23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8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(68)</w:t>
            </w:r>
          </w:p>
        </w:tc>
        <w:tc>
          <w:tcPr>
            <w:tcW w:w="15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(68)</w:t>
            </w:r>
          </w:p>
        </w:tc>
        <w:tc>
          <w:tcPr>
            <w:tcW w:w="14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59,115</w:t>
            </w:r>
          </w:p>
        </w:tc>
        <w:tc>
          <w:tcPr>
            <w:tcW w:w="3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53,495</w:t>
            </w: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7,467</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123,683</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43,226</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6,035</w:t>
            </w:r>
          </w:p>
        </w:tc>
        <w:tc>
          <w:tcPr>
            <w:tcW w:w="100" w:type="dxa"/>
            <w:vAlign w:val="bottom"/>
          </w:tcPr>
          <w:p>
            <w:pPr>
              <w:spacing w:after="0"/>
              <w:rPr>
                <w:sz w:val="18"/>
                <w:szCs w:val="18"/>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shares to</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value</w:t>
            </w:r>
          </w:p>
        </w:tc>
        <w:tc>
          <w:tcPr>
            <w:tcW w:w="188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(36,799)</w:t>
            </w:r>
          </w:p>
        </w:tc>
        <w:tc>
          <w:tcPr>
            <w:tcW w:w="15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(73,574)</w:t>
            </w: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23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attributable</w:t>
            </w:r>
          </w:p>
        </w:tc>
        <w:tc>
          <w:tcPr>
            <w:tcW w:w="4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w:t>
            </w:r>
          </w:p>
        </w:tc>
        <w:tc>
          <w:tcPr>
            <w:tcW w:w="11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05"/>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88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22,316</w:t>
            </w:r>
          </w:p>
        </w:tc>
        <w:tc>
          <w:tcPr>
            <w:tcW w:w="15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53,495</w:t>
            </w:r>
          </w:p>
        </w:tc>
        <w:tc>
          <w:tcPr>
            <w:tcW w:w="220" w:type="dxa"/>
            <w:vAlign w:val="bottom"/>
          </w:tcPr>
          <w:p>
            <w:pPr>
              <w:spacing w:after="0"/>
              <w:rPr>
                <w:sz w:val="24"/>
                <w:szCs w:val="24"/>
                <w:color w:val="auto"/>
              </w:rPr>
            </w:pPr>
          </w:p>
        </w:tc>
        <w:tc>
          <w:tcPr>
            <w:tcW w:w="12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7,467</w:t>
            </w: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50,109</w:t>
            </w: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43,226</w:t>
            </w:r>
          </w:p>
        </w:tc>
        <w:tc>
          <w:tcPr>
            <w:tcW w:w="180" w:type="dxa"/>
            <w:vAlign w:val="bottom"/>
          </w:tcPr>
          <w:p>
            <w:pPr>
              <w:spacing w:after="0"/>
              <w:rPr>
                <w:sz w:val="24"/>
                <w:szCs w:val="24"/>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6,035</w:t>
            </w:r>
          </w:p>
        </w:tc>
      </w:tr>
      <w:tr>
        <w:trPr>
          <w:trHeight w:val="197"/>
        </w:trPr>
        <w:tc>
          <w:tcPr>
            <w:tcW w:w="2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ordinary share</w:t>
            </w:r>
          </w:p>
        </w:tc>
        <w:tc>
          <w:tcPr>
            <w:tcW w:w="4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88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0.12</w:t>
            </w:r>
          </w:p>
        </w:tc>
        <w:tc>
          <w:tcPr>
            <w:tcW w:w="15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tcPr>
          <w:p>
            <w:pPr>
              <w:spacing w:after="0"/>
              <w:rPr>
                <w:sz w:val="18"/>
                <w:szCs w:val="18"/>
                <w:color w:val="auto"/>
              </w:rPr>
            </w:pPr>
          </w:p>
        </w:tc>
        <w:tc>
          <w:tcPr>
            <w:tcW w:w="12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0.04</w:t>
            </w: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0.26</w:t>
            </w: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88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0.12</w:t>
            </w:r>
          </w:p>
        </w:tc>
        <w:tc>
          <w:tcPr>
            <w:tcW w:w="15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0.26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0.04</w:t>
            </w:r>
          </w:p>
        </w:tc>
        <w:tc>
          <w:tcPr>
            <w:tcW w:w="1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0.26</w:t>
            </w: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0.03</w:t>
            </w:r>
          </w:p>
        </w:tc>
      </w:tr>
      <w:tr>
        <w:trPr>
          <w:trHeight w:val="194"/>
        </w:trPr>
        <w:tc>
          <w:tcPr>
            <w:tcW w:w="2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outstanding used in</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computing net earnings per</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88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72,000,000</w:t>
            </w:r>
          </w:p>
        </w:tc>
        <w:tc>
          <w:tcPr>
            <w:tcW w:w="15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208,488,138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97"/>
              </w:rPr>
              <w:t>208,488,138</w:t>
            </w:r>
          </w:p>
        </w:tc>
        <w:tc>
          <w:tcPr>
            <w:tcW w:w="14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72,000,000</w:t>
            </w:r>
          </w:p>
        </w:tc>
        <w:tc>
          <w:tcPr>
            <w:tcW w:w="14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208,454,128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208,454,128</w:t>
            </w: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88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72,000,000</w:t>
            </w:r>
          </w:p>
        </w:tc>
        <w:tc>
          <w:tcPr>
            <w:tcW w:w="15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209,438,670</w:t>
            </w:r>
          </w:p>
        </w:tc>
        <w:tc>
          <w:tcPr>
            <w:tcW w:w="220" w:type="dxa"/>
            <w:vAlign w:val="bottom"/>
          </w:tcPr>
          <w:p>
            <w:pPr>
              <w:spacing w:after="0"/>
              <w:rPr>
                <w:sz w:val="20"/>
                <w:szCs w:val="20"/>
                <w:color w:val="auto"/>
              </w:rPr>
            </w:pPr>
          </w:p>
        </w:tc>
        <w:tc>
          <w:tcPr>
            <w:tcW w:w="12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w w:val="97"/>
              </w:rPr>
              <w:t>209,438,670</w:t>
            </w: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72,000,000</w:t>
            </w: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209,979,209</w:t>
            </w:r>
          </w:p>
        </w:tc>
        <w:tc>
          <w:tcPr>
            <w:tcW w:w="180" w:type="dxa"/>
            <w:vAlign w:val="bottom"/>
          </w:tcPr>
          <w:p>
            <w:pPr>
              <w:spacing w:after="0"/>
              <w:rPr>
                <w:sz w:val="20"/>
                <w:szCs w:val="20"/>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209,979,209</w:t>
            </w:r>
          </w:p>
        </w:tc>
      </w:tr>
      <w:tr>
        <w:trPr>
          <w:trHeight w:val="414"/>
        </w:trPr>
        <w:tc>
          <w:tcPr>
            <w:tcW w:w="2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3260" w:type="dxa"/>
            <w:vAlign w:val="bottom"/>
            <w:tcBorders>
              <w:bottom w:val="single" w:sz="8" w:color="auto"/>
            </w:tcBorders>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8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220" w:type="dxa"/>
            <w:vAlign w:val="bottom"/>
            <w:tcBorders>
              <w:bottom w:val="single" w:sz="8" w:color="auto"/>
            </w:tcBorders>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4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32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4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42,340</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19,312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2,695</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80,768</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29,273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4,087</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12,630</w:t>
            </w:r>
          </w:p>
        </w:tc>
        <w:tc>
          <w:tcPr>
            <w:tcW w:w="26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1,763</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29,278</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174"/>
        </w:trPr>
        <w:tc>
          <w:tcPr>
            <w:tcW w:w="26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Non-GAAP income from</w:t>
            </w:r>
          </w:p>
        </w:tc>
        <w:tc>
          <w:tcPr>
            <w:tcW w:w="1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42,340</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31,942</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4,458</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80,768</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58,551</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8,174</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 a percentage of</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operating margin</w:t>
            </w: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0" w:type="dxa"/>
            <w:vAlign w:val="bottom"/>
            <w:vMerge w:val="continue"/>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59,115</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53,495</w:t>
            </w:r>
          </w:p>
        </w:tc>
        <w:tc>
          <w:tcPr>
            <w:tcW w:w="2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7,467</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123,683</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43,226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6,035</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Changes in fair value of</w:t>
            </w: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(20,539)</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(2,867)</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22,719</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12,630</w:t>
            </w:r>
          </w:p>
        </w:tc>
        <w:tc>
          <w:tcPr>
            <w:tcW w:w="26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1,763</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29,278</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59,115</w:t>
            </w:r>
          </w:p>
        </w:tc>
        <w:tc>
          <w:tcPr>
            <w:tcW w:w="4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45,586</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6,363</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123,683</w:t>
            </w:r>
          </w:p>
        </w:tc>
        <w:tc>
          <w:tcPr>
            <w:tcW w:w="4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95,223</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Changes in fair value of</w:t>
            </w: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 as a</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revenues</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expenses as a percentage of</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margin</w:t>
            </w: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22,316</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53,495</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7,467</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50,109</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43,226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6,035</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Changes in fair value of</w:t>
            </w: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(20,539)</w:t>
            </w:r>
          </w:p>
        </w:tc>
        <w:tc>
          <w:tcPr>
            <w:tcW w:w="2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(2,867)</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22,719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12,630</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1,763</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29,278</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174"/>
        </w:trPr>
        <w:tc>
          <w:tcPr>
            <w:tcW w:w="26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Non-GAAP net income</w:t>
            </w:r>
          </w:p>
        </w:tc>
        <w:tc>
          <w:tcPr>
            <w:tcW w:w="11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 to ordinary</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22,316</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45,586</w:t>
            </w:r>
          </w:p>
        </w:tc>
        <w:tc>
          <w:tcPr>
            <w:tcW w:w="26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6,363</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50,109</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95,223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13,293</w:t>
            </w:r>
          </w:p>
        </w:tc>
        <w:tc>
          <w:tcPr>
            <w:tcW w:w="0" w:type="dxa"/>
            <w:vAlign w:val="bottom"/>
          </w:tcPr>
          <w:p>
            <w:pPr>
              <w:spacing w:after="0"/>
              <w:rPr>
                <w:sz w:val="1"/>
                <w:szCs w:val="1"/>
                <w:color w:val="auto"/>
              </w:rPr>
            </w:pPr>
          </w:p>
        </w:tc>
      </w:tr>
      <w:tr>
        <w:trPr>
          <w:trHeight w:val="432"/>
        </w:trPr>
        <w:tc>
          <w:tcPr>
            <w:tcW w:w="2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2025-08-19T06:01:44Z</dcterms:created>
  <dcterms:modified xsi:type="dcterms:W3CDTF">2025-08-19T06:01:44Z</dcterms:modified>
</cp:coreProperties>
</file>