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Release—BingEx Limited Announces Fourth Quarter and Fiscal Year 2024 Financial Results</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60" w:type="dxa"/>
            <w:vAlign w:val="bottom"/>
            <w:tcBorders>
              <w:top w:val="single" w:sz="8" w:color="0000EE"/>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4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 Tang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 Tang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 Announces Fourth Quarter and Fiscal Year 2024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March 12, 2025 </w:t>
      </w:r>
      <w:r>
        <w:rPr>
          <w:rFonts w:ascii="Times New Roman" w:cs="Times New Roman" w:eastAsia="Times New Roman" w:hAnsi="Times New Roman"/>
          <w:sz w:val="18"/>
          <w:szCs w:val="18"/>
          <w:color w:val="auto"/>
        </w:rPr>
        <w:t>– BingEx Limited (the “Company”) (Nasdaq: FLX), a leading on-demand dedicated courier service provider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as “FlashEx”), today announced its unaudited financial results for the fourth quarter and fiscal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Fiscal Year 2024 Highlights:</w:t>
      </w:r>
    </w:p>
    <w:p>
      <w:pPr>
        <w:spacing w:after="0" w:line="225" w:lineRule="exact"/>
        <w:rPr>
          <w:sz w:val="20"/>
          <w:szCs w:val="20"/>
          <w:color w:val="auto"/>
        </w:rPr>
      </w:pPr>
    </w:p>
    <w:p>
      <w:pPr>
        <w:jc w:val="both"/>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RMB1,028.9 million (US$141.0 million) in the fourth quarter of 2024, compared to RMB1,212.3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For the year ended December 31, 2024, revenues were RMB4,468.2 million (US$612.1 million), compared to RMB4,528.8 million in 2023.</w:t>
      </w:r>
    </w:p>
    <w:p>
      <w:pPr>
        <w:spacing w:after="0" w:line="181"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RMB102.9 million (US$14.1 million) in the fourth quarter of 2024, compared to RMB103.9 million in the same period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margin reached 10.0%, improving from 8.6% in the same period in 2023. For the year ended December 31, 2024, gross profit was RMB490.6 million (US$67.2 million), representing an increase of 24.3% year-over-year.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RMB152.7 million (US$20.9 million) in the fourth quarter of 2024. For the year ended December 31, 2024, loss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was RMB25.8 million (US$3.5 million).</w:t>
      </w:r>
    </w:p>
    <w:p>
      <w:pPr>
        <w:spacing w:after="0" w:line="189"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RMB7.3 million (US$1.0 million) in the fourth quarter of 2024. For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non-GAAP income from operations was RMB134.3 million (US$18.4 million).</w:t>
      </w:r>
    </w:p>
    <w:p>
      <w:pPr>
        <w:spacing w:after="0" w:line="221" w:lineRule="exact"/>
        <w:rPr>
          <w:rFonts w:ascii="Times New Roman" w:cs="Times New Roman" w:eastAsia="Times New Roman" w:hAnsi="Times New Roman"/>
          <w:sz w:val="36"/>
          <w:szCs w:val="36"/>
          <w:color w:val="auto"/>
          <w:vertAlign w:val="superscript"/>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RMB294.0 million (US$40.3 million) in the fourth quarter of 2024. For the year ended December 31, 2024, net loss was RMB146.5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(US$20.1 million)</w:t>
      </w:r>
    </w:p>
    <w:p>
      <w:pPr>
        <w:spacing w:after="0" w:line="189"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RMB20.1 million (US$2.8 million) in the fourth quarter of 2024. For the year ended December 31, 2024, non-GAAP net income was RMB201.3 million (US$27.6 million).</w:t>
      </w:r>
    </w:p>
    <w:p>
      <w:pPr>
        <w:spacing w:after="0" w:line="221" w:lineRule="exact"/>
        <w:rPr>
          <w:rFonts w:ascii="Times New Roman" w:cs="Times New Roman" w:eastAsia="Times New Roman" w:hAnsi="Times New Roman"/>
          <w:sz w:val="36"/>
          <w:szCs w:val="36"/>
          <w:color w:val="auto"/>
          <w:vertAlign w:val="superscript"/>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was 65.8 million in the fourth quarter of 2024. For the year ended December 31, 2024, total fulfilled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amounted to 277.2 million, representing an increase of 2.4% year-over-year.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Adam Xue, Founder, Chairman, and Chief Executive Officer, commented, “2024 was a landmark year for FlashEx, highlighted by its widespread industry recognition and a solidified leadership position in the on-demand delivery market. Our relentless pursuit of excellence and meticulous attention to detail fueled resilient growth, leading to in 277.2 million fulfilled orders for the full year. By year-end, FlashEx’s services had extended across 295 cities in China, supported by a robust network of 2.8 million registered riders and 100.1 million users. Looking ahead, we will continue to harness our distinctive advantage in the on-demand dedicated courier model while integrating cutting-edge technologies to adapt to evolving industry dynamics and propel sustainable growth.”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Luke Tang, Chief Financial Officer of FlashEx, said, “Our ongoing efforts to optimize corporate structure and enhance operational efficiency drove steady progress across our business despite intensifying market competition in 2024. Our gross profit for the full year 2024 recorded solid growth of 24.3% compared to 2023, with gross profit margin increasing by 2.3 percentage points to 11.0%. What’s more, our average gross profit per order rose by 10.3% year-over-year in Q4 and 21.4% for the full year thanks to our growing brand recognition and differentiated service model. These accomplishments demonstrate the strength of our business model, underscoring our long-term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1" w:lineRule="exact"/>
        <w:rPr>
          <w:sz w:val="20"/>
          <w:szCs w:val="20"/>
          <w:color w:val="auto"/>
        </w:rPr>
      </w:pPr>
    </w:p>
    <w:p>
      <w:pPr>
        <w:jc w:val="both"/>
        <w:ind w:firstLine="8"/>
        <w:spacing w:after="0" w:line="210"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non-GAAP operating margin and non-GAAP net income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RMB1,028.9 million (US$141.0 million) in the fourth quarter of 2024, compared with RMB1,212.3 million in the same period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due to the decrease in fulfilled orders.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RMB926.0 million (US$126.9 million), compared with RMB1,108.5 million in the same period of 2023. The decrease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the decrease in Flash-Riders’ remuneration and incentives to fulfill orders, which was partially offset by the immediate recognition of accumulated share-based compensation expenses subject to IPO conditions.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RMB102.9 million (US$14.1 million), compared with RMB103.9 million in the same period of 2023. Gross profit margin was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8.6% in the same period last year.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RMB255.6 million (US$35.0 million), representing an increase of 179.5% from RMB91.5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RMB90.3 million (US$12.4 million), representing a 93.4% increase from RMB46.7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increase was primarily attributed to the immediate recognition of accumulated share-based compensation expenses subject to IPO conditions.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RMB85.0 million (US$11.6 million), representing a 234.4% increase from RMB25.4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2023. The increase was primarily attributed to the immediate recognition of accumulated share-based compensation expenses subject to IPO conditions.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RMB80.4 million (US$11.0 million), representing a 315.0% increase from RMB19.4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2023. The increase was primarily attributed to the immediate recognition of accumulated share-based compensation expenses subject to IPO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RMB152.7 million (US$20.9 million). Income from operations was RMB12.4 million in the same period of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RMB7.3 million (US$1.0 million), compared with RMB12.4 million in the same period of 2023.</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RMB154.0 million (US$21.1 million), primarily reflecting the losses from fair value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long-term investments.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was RMB7.3 million (US$1.0 million), compared with RMB14.2 million in the same period of 2023. The decrease was mainly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the amount of government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RMB294.0 million (US$40.3 million). Net income was RMB33.5 million in the same period of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RMB20.1 million (US$2.8 million), compared with RMB33.5 million in the same period of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attributable to ordinary shareholders </w:t>
      </w:r>
      <w:r>
        <w:rPr>
          <w:rFonts w:ascii="Times New Roman" w:cs="Times New Roman" w:eastAsia="Times New Roman" w:hAnsi="Times New Roman"/>
          <w:sz w:val="18"/>
          <w:szCs w:val="18"/>
          <w:color w:val="auto"/>
        </w:rPr>
        <w:t>was RMB296.8 million (US$40.7 million), compared with RMB3.9 million in the same period last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ordinary share </w:t>
      </w:r>
      <w:r>
        <w:rPr>
          <w:rFonts w:ascii="Times New Roman" w:cs="Times New Roman" w:eastAsia="Times New Roman" w:hAnsi="Times New Roman"/>
          <w:sz w:val="18"/>
          <w:szCs w:val="18"/>
          <w:color w:val="auto"/>
        </w:rPr>
        <w:t>was RMB1.49 (US$0.20).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RMB4,468.2 million (US$612.1 million) in 2024, compared with RMB4,528.8 million in 2023.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RMB3,977.6 million (US$544.9 million), compared with RMB4,134.3 million in 2023. The decrease was primarily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in Flash-Riders’ remuneration and incentives to fulfill orders, which was partially offset by the immediate recognition of accumulated share-based compensation expenses subject to IPO conditions.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RMB490.6 million (US$67.2 million), compared with RMB394.6 million in 2023. Gross profit margin was 11.0%, compared with 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RMB516.3 million (US$70.7 million), representing an increase of 34.5% from RMB383.9 million in 2023.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RMB223.9 million (US$30.7 million), representing a 19.0% increase from RMB188.2 million in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attributed to the immediate recognition of accumulated share-based compensation expenses subject to IPO conditions.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RMB148.5 million (US$20.4 million), representing a 41.7% increase from RMB104.8 million in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attributed to the immediate recognition of accumulated share-based compensation expenses subject to IPO conditions.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RMB143.9 million (US$19.7 million), representing a 58.3% increase from RMB90.8 million in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attributed to the immediate recognition of accumulated share-based compensation expenses subject to IPO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RMB25.8 million (US$3.5 million). Income from operations was RMB10.6 million in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RMB134.3 million (US$18.4 million), compared with RMB10.6 million in 2023.</w:t>
      </w:r>
    </w:p>
    <w:p>
      <w:pPr>
        <w:spacing w:after="0" w:line="131" w:lineRule="exact"/>
        <w:rPr>
          <w:sz w:val="20"/>
          <w:szCs w:val="20"/>
          <w:color w:val="auto"/>
        </w:rPr>
      </w:pPr>
    </w:p>
    <w:p>
      <w:pPr>
        <w:ind w:right="1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RMB187.7 million (US$25.7 million), primarily reflecting the losses from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measurement of long-term investments.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was RMB41.7 million (US$5.7 million), compared with RMB74.3 million in 2023. The decrease was mainly due to a decrease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government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RMB146.5 million (US$20.1 million). Net income was RMB110.5 million in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RMB201.3 million (US$27.6 million), compared with RMB110.5 million in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attributable to ordinary shareholders </w:t>
      </w:r>
      <w:r>
        <w:rPr>
          <w:rFonts w:ascii="Times New Roman" w:cs="Times New Roman" w:eastAsia="Times New Roman" w:hAnsi="Times New Roman"/>
          <w:sz w:val="18"/>
          <w:szCs w:val="18"/>
          <w:color w:val="auto"/>
        </w:rPr>
        <w:t>was RMB260.1 million (US$35.6 million), compared with RMB35.8 million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ordinary share </w:t>
      </w:r>
      <w:r>
        <w:rPr>
          <w:rFonts w:ascii="Times New Roman" w:cs="Times New Roman" w:eastAsia="Times New Roman" w:hAnsi="Times New Roman"/>
          <w:sz w:val="18"/>
          <w:szCs w:val="18"/>
          <w:color w:val="auto"/>
        </w:rPr>
        <w:t>was RMB2.51 (US$0.34).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December 31, 2024, </w:t>
      </w:r>
      <w:r>
        <w:rPr>
          <w:rFonts w:ascii="Times New Roman" w:cs="Times New Roman" w:eastAsia="Times New Roman" w:hAnsi="Times New Roman"/>
          <w:sz w:val="18"/>
          <w:szCs w:val="18"/>
          <w:b w:val="1"/>
          <w:bCs w:val="1"/>
          <w:color w:val="auto"/>
        </w:rPr>
        <w:t>cash and cash equivalents, restricted cash and short-term investments</w:t>
      </w:r>
      <w:r>
        <w:rPr>
          <w:rFonts w:ascii="Times New Roman" w:cs="Times New Roman" w:eastAsia="Times New Roman" w:hAnsi="Times New Roman"/>
          <w:sz w:val="18"/>
          <w:szCs w:val="18"/>
          <w:color w:val="auto"/>
        </w:rPr>
        <w:t xml:space="preserve"> were RMB793.0 million (US$108.6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Share Repurchase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2025, the Company’s board of directors adopted a share repurchase program, whereby the Company is authorized to repurchase up to an aggregate of US$30.0 million worth of its shares (including in the form of American depositary shares, each representing three Class A ordinary shares (“ADSs”)) during the twelve-month period from March 12, 2025 to March 31, 2026. The share repurchases may be effected from time to time on the open market at prevailing market prices, through privately negotiated transactions, in block trades, and/or through other legally permissible means, depending on market conditions and in accordance with applicable rules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Wednesday, March 12, 2025 at 8:00PM Beijing Time (8:00AM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https://register.vevent.com/register/BI3a23cbcd7c5141dba7f3606e2898f61c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 xml:space="preserve"> and a replay of the webcast will be available following the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income from operations, non-GAAP net income, non-GAAP operating margin and non-GAAP net income margin, as supplemental measures to evaluate our operating results and make financial and operational decisions. Non-GAAP income from operations represents income (loss) from operations excluding share-based compensation expenses. Non-GAAP operating margin is equal to non-GAAP income from operations divided by revenues. Non-GAAP net income represents net income excluding changes in fair value of long-term investments and share-based compensation expenses. Non-GAAP net income margin is equal to non-GAAP net income divided by revenues.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RMB7.2993 to US$1.00, the exchange rate set forth in the H.10 statistical release of the Board of Governors of the Federal Reserve System as of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FlashEx@thepiacentegroup.com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3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218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2300" w:type="dxa"/>
            <w:vAlign w:val="bottom"/>
            <w:tcBorders>
              <w:top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699,391</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592,358</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81,153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spacing w:after="0"/>
              <w:rPr>
                <w:sz w:val="18"/>
                <w:szCs w:val="18"/>
                <w:color w:val="auto"/>
              </w:rPr>
            </w:pPr>
          </w:p>
        </w:tc>
        <w:tc>
          <w:tcPr>
            <w:tcW w:w="18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46,735</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150,699</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153,910</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12,115</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16,893</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58,119</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48,553</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920,324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858,449</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700" w:type="dxa"/>
            <w:vAlign w:val="bottom"/>
          </w:tcPr>
          <w:p>
            <w:pPr>
              <w:spacing w:after="0"/>
              <w:rPr>
                <w:sz w:val="18"/>
                <w:szCs w:val="18"/>
                <w:color w:val="auto"/>
              </w:rPr>
            </w:pPr>
          </w:p>
        </w:tc>
        <w:tc>
          <w:tcPr>
            <w:tcW w:w="18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324,110</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44,403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5,544</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3,687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3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59,852</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44,577</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6,107</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14,950</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4,600</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376,974</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1,000,670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339,832</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223,391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51,945</w:t>
            </w:r>
          </w:p>
        </w:tc>
        <w:tc>
          <w:tcPr>
            <w:tcW w:w="2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56,768</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12,346</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13,091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3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249,329</w:t>
            </w:r>
          </w:p>
        </w:tc>
        <w:tc>
          <w:tcPr>
            <w:tcW w:w="2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165,714</w:t>
            </w: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22,705</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653,452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458,964</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45,360</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29,395</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29,395</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698,812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488,359</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7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2,733,560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7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(2,431,702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747,064</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 (deficit)</w:t>
            </w:r>
          </w:p>
        </w:tc>
        <w:tc>
          <w:tcPr>
            <w:tcW w:w="7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1,000,670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84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46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3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0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1,212,331</w:t>
            </w: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1,028,877</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140,956</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4,528,826</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4,468,161</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612,136</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(1,108,457)</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(925,962)</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(126,856)</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(4,134,271)</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(3,977,598)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(544,929)</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103,874</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102,915</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394,555</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490,563</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(46,681)</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(90,266)</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(12,366)</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(188,249)</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(223,935)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(25,411)</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(84,986)</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(11,643)</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(104,810)</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(148,549)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(19,367)</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(80,379)</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(11,012)</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(90,847)</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(143,856)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(91,459</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(255,631</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(35,021</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(383,906</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(516,340</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(70,738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12,415</w:t>
            </w: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(152,716</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10,649</w:t>
            </w:r>
          </w:p>
        </w:tc>
        <w:tc>
          <w:tcPr>
            <w:tcW w:w="3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(25,777</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(154,039)</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(21,103)</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(187,725)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987</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762</w:t>
            </w:r>
          </w:p>
        </w:tc>
        <w:tc>
          <w:tcPr>
            <w:tcW w:w="13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4,648</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4,203</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14,245</w:t>
            </w: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7,321</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1,003</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74,321</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41,672</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33,480</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(293,991)</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(40,276)</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110,499</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(146,411)</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33,480</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(293,992)</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(40,276)</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110,499</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(146,480)</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22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(37,382)</w:t>
            </w:r>
          </w:p>
        </w:tc>
        <w:tc>
          <w:tcPr>
            <w:tcW w:w="132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(2,831)</w:t>
            </w:r>
          </w:p>
        </w:tc>
        <w:tc>
          <w:tcPr>
            <w:tcW w:w="130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(388)</w:t>
            </w:r>
          </w:p>
        </w:tc>
        <w:tc>
          <w:tcPr>
            <w:tcW w:w="122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(146,341)</w:t>
            </w:r>
          </w:p>
        </w:tc>
        <w:tc>
          <w:tcPr>
            <w:tcW w:w="122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(113,658)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redemption value</w:t>
            </w:r>
          </w:p>
        </w:tc>
        <w:tc>
          <w:tcPr>
            <w:tcW w:w="12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(3,902</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(296,823</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(40,664</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(35,842</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(260,138</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Basic and diluted — Class A and B</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(1.49)</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(0.20)</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(0.50)</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94"/>
        </w:trPr>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used in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computing net loss per ordinary share</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Basic and diluted – Class A</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26,422,222</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153,553,147</w:t>
            </w:r>
          </w:p>
        </w:tc>
        <w:tc>
          <w:tcPr>
            <w:tcW w:w="13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153,553,147</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26,422,222</w:t>
            </w: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58,117,877</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58,117,877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 – Class B</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45,577,778</w:t>
            </w: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45,577,778</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45,577,778</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45,577,778</w:t>
            </w: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45,577,778</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45,577,778</w:t>
            </w:r>
          </w:p>
        </w:tc>
        <w:tc>
          <w:tcPr>
            <w:tcW w:w="0" w:type="dxa"/>
            <w:vAlign w:val="bottom"/>
          </w:tcPr>
          <w:p>
            <w:pPr>
              <w:spacing w:after="0"/>
              <w:rPr>
                <w:sz w:val="1"/>
                <w:szCs w:val="1"/>
                <w:color w:val="auto"/>
              </w:rPr>
            </w:pPr>
          </w:p>
        </w:tc>
      </w:tr>
      <w:tr>
        <w:trPr>
          <w:trHeight w:val="432"/>
        </w:trPr>
        <w:tc>
          <w:tcPr>
            <w:tcW w:w="3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4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60" w:type="dxa"/>
            <w:vAlign w:val="bottom"/>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12,415</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(152,716)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(20,921)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10,649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(25,777)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(3,531)</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160,027</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160,027</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21,924</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 expenses as a percentage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vMerge w:val="continue"/>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33,480</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(293,992)</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(40,276)</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110,499</w:t>
            </w: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(146,480)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(20,066)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Changes in fair value of long-term investments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154,039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21,103</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187,725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25,718</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160,027</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160,027</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21,924</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201,272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 investments as a</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 expenses as a percentage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of 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margin</w:t>
            </w: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2025-03-12T05:20:51Z</dcterms:created>
  <dcterms:modified xsi:type="dcterms:W3CDTF">2025-03-12T05:20:51Z</dcterms:modified>
</cp:coreProperties>
</file>