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BingEx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CDH Venture Capital III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8,262,060.00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CDH Venture Partners III,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8,262,060.00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CDH Venture GP III Company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8,262,060.00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8,262,060.00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BingEx Limited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Building 6, Zhongguancun Dongsheng International Science Park, No.1 Yongtaizhuang North Road, Haidian District, Beijing 100192, P.R. China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CDH Venture Capital III Limited CDH Venture Partners III, L.P. CDH Venture GP III Company Limited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Principal business office for each Reporting Person is 1503 Level 15 International Commerce Center, 1 Austin Road West, Kowloon, Hong Kong.</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CDH Venture Capital III Limited - British Virgin Islands CDH Venture Partners III, L.P. - Cayman Islands CDH Venture GP III Company Limited - Cayman Islands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as of June 30, 2026 is set forth in Row 9 of the cover page for each Reporting Person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this Item as of June 30, 2026 is set forth in Row 11 of the cover page for each Reporting Person and is incorporated herein by reference. Percent of class determined is based on 173,811,951 Class A Ordinary Shares (as defined below) of BingEx Limited (the "Issuer") outstanding as of February 28, 2026 as disclosed in the Issuer's annual report on Form 20-F filed with the Securities and Exchange Commission on April 24, 2026. As of June 30, 2026, CDH Venture Capital III Limited held 2,754,020 ADSs (as defined below) of the Issuer, representing 8,262,060 Class A Ordinary Shares of the Issuer. Each three Class A ordinary shares, par value US$0.0001 per share, of the Issuer ("Class A Ordinary Shares") are represented by one American depositary share ("ADS") of the Issuer. The ADSs are quoted on The Nasdaq Global Select Market under the symbol "FLX" with the CUSIP number 090337106 assigned. There is no CUSIP number assigned to the Class A Ordinary Shares. The Class A Ordinary Shares are not for trading but only in connection with the listing of ADSs on The Nasdaq Global Select Market. CDH Venture Capital III Limited is 100% wholly owned by CDH Venture Partners III, L.P., whose general partner is CDH Venture GP III Company Limited. CDH Venture Partners III, L.P. and CDH Venture GP III Company Limited may be deemed to have beneficial ownership over ADSs representing the Class A Ordinary Shares held by CDH Venture Capital III Limited. The voting and investment power of the securities of the Issuer held by CDH Venture Capital III Limited is exercised by the investment committee of CDH Venture GP III Company Limited, which consists of WU Shangzhi, WANG Lin and HUANG Yan. Pursuant to Section 13(d) of the Securities Exchange Act of 1934 (the "Act") and the rules promulgated thereunder, each of WU Shangzhi, WANG Lin and HUANG Yan may be deemed to share beneficial ownership of the securities of the Issuer directly held by CDH Venture Capital III Limited. Each of WU Shangzhi, WANG Lin and HUANG Yan disclaims beneficial ownership of all the securities of the Issuer held by CDH Venture Capital III Limited for the purposes of Sections 13(d) and 13(g) of the Act, except to the extent of their pecuniary interests therein.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as of June 30, 2026 is set forth in Row 5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as of June 30, 2026 is set forth in Row 6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as of June 30, 2026 is set forth in Row 7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this Item as of June 30, 2026 is set forth in Row 8 of the cover page for each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CDH Venture Capital III Limited</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William Hsu</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William Hsu, Director, CDH Venture Capital III Limited</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CDH Venture Partners III,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William Hsu</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CDH Venture GP III Company Limited by William Hsu, Director, CDH Venture GP III Company Limited</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CDH Venture GP III Company Limited</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6"/>
        <w:gridCol w:w="4349"/>
      </w:tblGrid>
      <w:tr>
        <w:trPr/>
        <w:tc>
          <w:tcPr>
            <w:tcW w:w="58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William Hsu</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William Hsu, Director, CDH Venture GP III Company Limited</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49"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29737701ex99-1.htm"/>
      <w:bookmarkStart w:id="25" w:name="ksea029737701ex991"/>
      <w:bookmarkEnd w:id="24"/>
      <w:bookmarkEnd w:id="2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US$0.0001 per share, of BingEx Limited, a Cayman Islands exempted company with limited liability,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July 9, 2026.</w:t>
      </w:r>
    </w:p>
    <w:p>
      <w:pPr>
        <w:pStyle w:val="TextBody"/>
        <w:bidi w:val="0"/>
        <w:spacing w:before="0" w:after="0"/>
        <w:ind w:left="6480" w:right="0" w:hanging="0"/>
        <w:jc w:val="left"/>
        <w:rPr>
          <w:caps w:val="false"/>
          <w:smallCaps w:val="false"/>
        </w:rPr>
      </w:pPr>
      <w:r>
        <w:rPr>
          <w:caps w:val="false"/>
          <w:smallCaps w:val="false"/>
        </w:rPr>
        <w:t> </w:t>
      </w:r>
    </w:p>
    <w:tbl>
      <w:tblPr>
        <w:tblW w:w="3589" w:type="dxa"/>
        <w:jc w:val="left"/>
        <w:tblInd w:w="0" w:type="dxa"/>
        <w:tblLayout w:type="fixed"/>
        <w:tblCellMar>
          <w:top w:w="0" w:type="dxa"/>
          <w:left w:w="0" w:type="dxa"/>
          <w:bottom w:w="0" w:type="dxa"/>
          <w:right w:w="0" w:type="dxa"/>
        </w:tblCellMar>
      </w:tblPr>
      <w:tblGrid>
        <w:gridCol w:w="75"/>
        <w:gridCol w:w="1043"/>
        <w:gridCol w:w="2471"/>
      </w:tblGrid>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CDH Venture Capital III Limited</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71" w:type="dxa"/>
            <w:tcBorders>
              <w:bottom w:val="single" w:sz="12" w:space="0" w:color="000000"/>
            </w:tcBorders>
            <w:tcMar>
              <w:bottom w:w="28" w:type="dxa"/>
            </w:tcMar>
            <w:vAlign w:val="center"/>
          </w:tcPr>
          <w:p>
            <w:pPr>
              <w:pStyle w:val="TableContents"/>
              <w:bidi w:val="0"/>
              <w:spacing w:before="0" w:after="283"/>
              <w:jc w:val="left"/>
              <w:rPr/>
            </w:pPr>
            <w:r>
              <w:rPr/>
              <w:t>/s/ 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471" w:type="dxa"/>
            <w:tcBorders/>
            <w:vAlign w:val="center"/>
          </w:tcPr>
          <w:p>
            <w:pPr>
              <w:pStyle w:val="TableContents"/>
              <w:bidi w:val="0"/>
              <w:spacing w:before="0" w:after="283"/>
              <w:jc w:val="left"/>
              <w:rPr/>
            </w:pPr>
            <w:r>
              <w:rPr/>
              <w:t>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7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CDH Venture Partners III, L.P.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CDH Venture GP III Company Limited</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71" w:type="dxa"/>
            <w:tcBorders>
              <w:bottom w:val="single" w:sz="12" w:space="0" w:color="000000"/>
            </w:tcBorders>
            <w:tcMar>
              <w:bottom w:w="28" w:type="dxa"/>
            </w:tcMar>
            <w:vAlign w:val="center"/>
          </w:tcPr>
          <w:p>
            <w:pPr>
              <w:pStyle w:val="TableContents"/>
              <w:bidi w:val="0"/>
              <w:spacing w:before="0" w:after="283"/>
              <w:jc w:val="left"/>
              <w:rPr/>
            </w:pPr>
            <w:r>
              <w:rPr/>
              <w:t>/s/ 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71" w:type="dxa"/>
            <w:tcBorders/>
            <w:vAlign w:val="center"/>
          </w:tcPr>
          <w:p>
            <w:pPr>
              <w:pStyle w:val="TableContents"/>
              <w:bidi w:val="0"/>
              <w:spacing w:before="0" w:after="283"/>
              <w:jc w:val="left"/>
              <w:rPr/>
            </w:pPr>
            <w:r>
              <w:rPr/>
              <w:t>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71" w:type="dxa"/>
            <w:tcBorders/>
            <w:vAlign w:val="center"/>
          </w:tcPr>
          <w:p>
            <w:pPr>
              <w:pStyle w:val="TableContents"/>
              <w:bidi w:val="0"/>
              <w:spacing w:before="0" w:after="283"/>
              <w:jc w:val="left"/>
              <w:rPr/>
            </w:pPr>
            <w:r>
              <w:rPr/>
              <w:t>Director</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CDH Venture GP III Company Limited</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pPr>
            <w:r>
              <w:rPr/>
              <w:t> </w:t>
            </w:r>
          </w:p>
        </w:tc>
        <w:tc>
          <w:tcPr>
            <w:tcW w:w="247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71" w:type="dxa"/>
            <w:tcBorders>
              <w:bottom w:val="single" w:sz="12" w:space="0" w:color="000000"/>
            </w:tcBorders>
            <w:tcMar>
              <w:bottom w:w="28" w:type="dxa"/>
            </w:tcMar>
            <w:vAlign w:val="center"/>
          </w:tcPr>
          <w:p>
            <w:pPr>
              <w:pStyle w:val="TableContents"/>
              <w:bidi w:val="0"/>
              <w:spacing w:before="0" w:after="283"/>
              <w:jc w:val="left"/>
              <w:rPr/>
            </w:pPr>
            <w:r>
              <w:rPr/>
              <w:t>/s/ 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71" w:type="dxa"/>
            <w:tcBorders/>
            <w:vAlign w:val="center"/>
          </w:tcPr>
          <w:p>
            <w:pPr>
              <w:pStyle w:val="TableContents"/>
              <w:bidi w:val="0"/>
              <w:spacing w:before="0" w:after="283"/>
              <w:jc w:val="left"/>
              <w:rPr/>
            </w:pPr>
            <w:r>
              <w:rPr/>
              <w:t>William Hsu</w:t>
            </w:r>
          </w:p>
        </w:tc>
      </w:tr>
      <w:tr>
        <w:trPr/>
        <w:tc>
          <w:tcPr>
            <w:tcW w:w="75" w:type="dxa"/>
            <w:tcBorders/>
            <w:vAlign w:val="center"/>
          </w:tcPr>
          <w:p>
            <w:pPr>
              <w:pStyle w:val="TableContents"/>
              <w:bidi w:val="0"/>
              <w:spacing w:before="0" w:after="283"/>
              <w:jc w:val="left"/>
              <w:rPr/>
            </w:pPr>
            <w:r>
              <w:rPr/>
              <w:t> </w:t>
            </w:r>
          </w:p>
        </w:tc>
        <w:tc>
          <w:tcPr>
            <w:tcW w:w="10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71" w:type="dxa"/>
            <w:tcBorders/>
            <w:vAlign w:val="center"/>
          </w:tcPr>
          <w:p>
            <w:pPr>
              <w:pStyle w:val="TableContents"/>
              <w:bidi w:val="0"/>
              <w:spacing w:before="0" w:after="283"/>
              <w:jc w:val="left"/>
              <w:rPr/>
            </w:pPr>
            <w:r>
              <w:rPr/>
              <w:t>Director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13G/A Joint Filing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648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648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1744</Words>
  <Characters>8857</Characters>
  <CharactersWithSpaces>10573</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