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175895</wp:posOffset>
            </wp:positionV>
            <wp:extent cx="2571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190500</wp:posOffset>
            </wp:positionV>
            <wp:extent cx="2571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191135</wp:posOffset>
            </wp:positionV>
            <wp:extent cx="2571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167640</wp:posOffset>
            </wp:positionV>
            <wp:extent cx="2571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168910</wp:posOffset>
            </wp:positionV>
            <wp:extent cx="2571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tcPr>
          <w:p>
            <w:pPr>
              <w:jc w:val="right"/>
              <w:ind w:right="89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Release—BingEx Limited Announces Third Quarter 2024 Financial Results</w:t>
            </w:r>
          </w:p>
        </w:tc>
      </w:tr>
      <w:tr>
        <w:trPr>
          <w:trHeight w:val="1648"/>
        </w:trPr>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20" w:type="dxa"/>
            <w:vAlign w:val="bottom"/>
            <w:tcBorders>
              <w:top w:val="single" w:sz="8" w:color="0000FF"/>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 Tang</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Le Tang</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 Announces Third Quarter 2024 Financial Results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November 27, 2024 </w:t>
      </w:r>
      <w:r>
        <w:rPr>
          <w:rFonts w:ascii="Times New Roman" w:cs="Times New Roman" w:eastAsia="Times New Roman" w:hAnsi="Times New Roman"/>
          <w:sz w:val="18"/>
          <w:szCs w:val="18"/>
          <w:color w:val="auto"/>
        </w:rPr>
        <w:t>– BingEx Limited (“BingEx” or the “Company”) (Nasdaq: FLX), a leading on-demand dedicated courier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in China (branded as “FlashEx”), today announced its unaudited financial results for the third quarter ended September 30,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Nine Months 2024 Highlights:</w:t>
      </w:r>
    </w:p>
    <w:p>
      <w:pPr>
        <w:spacing w:after="0" w:line="117" w:lineRule="exact"/>
        <w:rPr>
          <w:sz w:val="20"/>
          <w:szCs w:val="20"/>
          <w:color w:val="auto"/>
        </w:rPr>
      </w:pPr>
    </w:p>
    <w:p>
      <w:pPr>
        <w:ind w:left="1020" w:right="56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RMB1,154.8 million (US$164.6 million) in the third quarter of 2024. For the nine months ended September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were RMB3,439.3 million (US$490.1 million), representing an increase of 3.7% year-over-year.</w:t>
      </w:r>
    </w:p>
    <w:p>
      <w:pPr>
        <w:spacing w:after="0" w:line="46" w:lineRule="exact"/>
        <w:rPr>
          <w:rFonts w:ascii="Times New Roman" w:cs="Times New Roman" w:eastAsia="Times New Roman" w:hAnsi="Times New Roman"/>
          <w:sz w:val="18"/>
          <w:szCs w:val="18"/>
          <w:color w:val="auto"/>
        </w:rPr>
      </w:pPr>
    </w:p>
    <w:p>
      <w:pPr>
        <w:jc w:val="both"/>
        <w:ind w:left="1020" w:right="80" w:hanging="503"/>
        <w:spacing w:after="0" w:line="26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RMB130.3 million (US$18.6 million) in the third quarter of 2024, representing an increase of 20.9% year over year.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margin reached 11.3%, improving from 9.0% in the same period last year. For the nine months ended September 30, 2024, gross profit was RMB387.6 million (US$55.2 million), representing an increase of 33.4% year-over-year.</w:t>
      </w:r>
    </w:p>
    <w:p>
      <w:pPr>
        <w:spacing w:after="0" w:line="62" w:lineRule="exact"/>
        <w:rPr>
          <w:rFonts w:ascii="Times New Roman" w:cs="Times New Roman" w:eastAsia="Times New Roman" w:hAnsi="Times New Roman"/>
          <w:sz w:val="18"/>
          <w:szCs w:val="18"/>
          <w:color w:val="auto"/>
        </w:rPr>
      </w:pPr>
    </w:p>
    <w:p>
      <w:pPr>
        <w:ind w:left="1020" w:right="280" w:hanging="503"/>
        <w:spacing w:after="0" w:line="291" w:lineRule="auto"/>
        <w:tabs>
          <w:tab w:leader="none" w:pos="10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Income from operations </w:t>
      </w:r>
      <w:r>
        <w:rPr>
          <w:rFonts w:ascii="Times New Roman" w:cs="Times New Roman" w:eastAsia="Times New Roman" w:hAnsi="Times New Roman"/>
          <w:sz w:val="17"/>
          <w:szCs w:val="17"/>
          <w:color w:val="auto"/>
        </w:rPr>
        <w:t>was RMB46.2 million (US$6.6 million) in the third quarter of 2024, operating margin was 4.0%. For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2024, income from operations was RMB126.9 million (US$18.1 million), accounting for 3.7% of revenues, realizing a remarkable improvement in profitability compared with a loss from operations of RMB1.8 million in the same period last year.</w:t>
      </w:r>
    </w:p>
    <w:p>
      <w:pPr>
        <w:spacing w:after="0" w:line="44" w:lineRule="exact"/>
        <w:rPr>
          <w:rFonts w:ascii="Times New Roman" w:cs="Times New Roman" w:eastAsia="Times New Roman" w:hAnsi="Times New Roman"/>
          <w:sz w:val="17"/>
          <w:szCs w:val="17"/>
          <w:color w:val="auto"/>
        </w:rPr>
      </w:pPr>
    </w:p>
    <w:p>
      <w:pPr>
        <w:jc w:val="both"/>
        <w:ind w:left="1020" w:right="240" w:hanging="503"/>
        <w:spacing w:after="0" w:line="26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RMB23.8 million (US$3.4 million) in the third quarter of 2024, net income margin was 2.1%.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net income was RMB147.5 million (US$21.0 million), representing an increase of 91.6% year-over-year. Net income margin was 4.3%, compared with 2.3% in the same period last year.</w:t>
      </w:r>
    </w:p>
    <w:p>
      <w:pPr>
        <w:spacing w:after="0" w:line="69" w:lineRule="exact"/>
        <w:rPr>
          <w:rFonts w:ascii="Times New Roman" w:cs="Times New Roman" w:eastAsia="Times New Roman" w:hAnsi="Times New Roman"/>
          <w:sz w:val="18"/>
          <w:szCs w:val="18"/>
          <w:color w:val="auto"/>
        </w:rPr>
      </w:pPr>
    </w:p>
    <w:p>
      <w:pPr>
        <w:ind w:left="1020" w:right="4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RMB57.6 million (US$8.2 million) in the third quarter of 2024, Non-GAAP net income margin was 5.0%.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nine months ended September 30, 2024, Non-GAAP net income was RMB181.2 million (US$25.8 million), Non-GAAP net income margin was 5.3%.</w:t>
      </w:r>
    </w:p>
    <w:p>
      <w:pPr>
        <w:spacing w:after="0" w:line="86" w:lineRule="exact"/>
        <w:rPr>
          <w:rFonts w:ascii="Times New Roman" w:cs="Times New Roman" w:eastAsia="Times New Roman" w:hAnsi="Times New Roman"/>
          <w:sz w:val="18"/>
          <w:szCs w:val="18"/>
          <w:color w:val="auto"/>
        </w:rPr>
      </w:pPr>
    </w:p>
    <w:p>
      <w:pPr>
        <w:ind w:left="1020" w:right="28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for the nine months ended September 30, 2024 was 211.4 million, representing an increase of 7.1% year-over-year, with the fulfilled orders in the third quarter contributed 73.3 million.</w:t>
      </w:r>
    </w:p>
    <w:p>
      <w:pPr>
        <w:spacing w:after="0" w:line="15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333333"/>
        </w:rPr>
        <w:t xml:space="preserve">Mr. Adam Xue, Founder, Chairman, and Chief Executive Officer, commented,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33333"/>
        </w:rPr>
        <w:t>In the third quarter of 2024, BingEx demonstrated resilience in a competitive market, achieving a year-over-year growth in gross profit and a significant improvement in operational efficiency. Our strong focus on enhancing service quality and expanding our delivery network has allowed us to fulfill over 211 million orders, reaffirming our commitment to providing exceptional on-demand courier services. As we continue to innovate and adapt, we are confident in our ability to capture new growth opportunities and deliver greater value to our customers and stakeholders.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“BingEx’s financial results for the third quarter of 2024 reflect our ongoing focus on disciplined execution and cost management,” said Mr. Luke Tang, Chief Financial Officer of BingEx. “We achieved a significant 20.9% year-over-year increase in gross profit, with our gross margin reaching 11.3 %, up from 9.0% in the same period of last year. As a result of our improved operational efficiency and enhanced profitability, we have achieved positive net income for eight consecutive quarters since the fourth quarter of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RMB1,154.8 million (US$164.6 million) in the third quarter of 2024, compared with RMB1,194.3 million in the same period of 2023.</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RMB1,024.5 million (US$146.0 million) , compared with RMB1,086.4 million in the same period of 2023.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attributable to the decrease in Flash-Riders’ remuneration and incentives to fulfill orders.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RMB130.3 million (US$18.6 million), compared with RMB107.8 million in the same period of 2023. Gross profit margin was 11.3%,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9.0% in the same period last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RMB84.2 million (US$12.0 million), representing a decrease of 7.8% from RMB91.2 million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RMB43.9 million (US$6.3 million), relative flat compared with RMB43.5 million in the same period last year.</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RMB18.1 million (US$2.6 million), representing a 33.0% decrease from RMB27.0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The year over year decline was primarily due to decreases in staffing costs and professional service fees.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RMB22.2 million (US$3.2 million), representing a 6.8% increase from RMB20.8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RMB46.2 million (US$6.6 million), compared with RMB16.6 million in the same period of 2023. Operating margin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 compared with 1.4% in the same period last year.</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RMB33.8 million (US$4.8 million), primarily reflecting the losses from fair value measurement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investments.</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was RMB5.8 million (US$0.8 million), compared with RMB11.8 million in the same period of 2023. The decrease was mainly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the amount of government grants.</w:t>
      </w:r>
    </w:p>
    <w:p>
      <w:pPr>
        <w:spacing w:after="0" w:line="15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RMB23.8 million (US$3.4 million), compared with RMB35.0 million in the same period of 2023. Net income margin was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2.9% in the same period last year.</w:t>
      </w:r>
    </w:p>
    <w:p>
      <w:pPr>
        <w:spacing w:after="0" w:line="162"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RMB57.6 million (US$8.2 million), compared with RMB35.0 million in the same period of 2023. Non-GAAP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was 5.0%, compared with 2.9% in the same period last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attributable to ordinary shareholders </w:t>
      </w:r>
      <w:r>
        <w:rPr>
          <w:rFonts w:ascii="Times New Roman" w:cs="Times New Roman" w:eastAsia="Times New Roman" w:hAnsi="Times New Roman"/>
          <w:sz w:val="18"/>
          <w:szCs w:val="18"/>
          <w:color w:val="auto"/>
        </w:rPr>
        <w:t>was RMB13.4 million (US$1.9 million), compared with RMB2.6 million in the same period last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ordinary share. </w:t>
      </w:r>
      <w:r>
        <w:rPr>
          <w:rFonts w:ascii="Times New Roman" w:cs="Times New Roman" w:eastAsia="Times New Roman" w:hAnsi="Times New Roman"/>
          <w:sz w:val="18"/>
          <w:szCs w:val="18"/>
          <w:color w:val="auto"/>
        </w:rPr>
        <w:t>Basic and diluted net loss per share was RMB0.19 (US$0.03).</w:t>
      </w:r>
    </w:p>
    <w:p>
      <w:pPr>
        <w:spacing w:after="0" w:line="247" w:lineRule="exact"/>
        <w:rPr>
          <w:sz w:val="20"/>
          <w:szCs w:val="20"/>
          <w:color w:val="auto"/>
        </w:rPr>
      </w:pPr>
    </w:p>
    <w:p>
      <w:pPr>
        <w:ind w:right="300" w:firstLine="8"/>
        <w:spacing w:after="0" w:line="239" w:lineRule="auto"/>
        <w:tabs>
          <w:tab w:leader="none" w:pos="81"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Non-GAAP net income and Non-GAAP net income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2024 Share Incentive Plan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order to provide incentives to our personnel, the Company’s board of directors has approved the adopt of a 2024 Share Incentive Plan (the “2024 Plan”). Under the 2024 Plan, the maximum aggregate number of Class A ordinary shares that may be issued pursuant to the awards is initially 10,669,486, plus an annual increase on the first calendar day of each fiscal year of the Company during the term of the plan commencing with the fiscal year beginning January 1, 2025, by the lower of (i) an amount equal to 1% of the total number of ordinary shares issued and outstanding on the last day of the immediately preceding fiscal year, and (ii) such number of shares as may be determined by the board of directors. The 2024 Plan became effective on November 26, 2024 and will expire on the tenth anniversary of its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Wednesday, November 27, 2024 at 8:00PM Beijing Time (7:00AM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https://register.vevent.com/register/BIe9d056d0687d428688467915cc4980b1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live webcast of the conference call will be available on the Company’s investor relations website at http://ir.ishansong.com,and a replay of the webcast will be available following the session.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121" w:lineRule="exact"/>
        <w:rPr>
          <w:sz w:val="20"/>
          <w:szCs w:val="20"/>
          <w:color w:val="auto"/>
        </w:rPr>
      </w:pPr>
    </w:p>
    <w:p>
      <w:pPr>
        <w:ind w:right="260"/>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BingEx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http://ir.ishansong.com.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net income and non-GAAP net income margin, as supplemental measures to evaluate our operating results and make financial and operational decision. Non-GAAP net income represents net income excluding changes in fair value of long-term investments. Non-GAAP net income margin is equal to Non-GAAP net income divided by revenues.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enhances the overall understanding of our past performance and future prospects and allow for greater visibility into key metrics used by our management in its financial and operational decision-making.</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RMB7.0176 to US$1.00, the exchange rate set forth in the H.10 statistical release of the Board of Governors of the Federal Reserve System as of September 30, 2024.</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FlashEx@thepiacentegroup.com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1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78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RMB</w:t>
            </w: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USD</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699,391</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517,406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73,730</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150,699</w:t>
            </w:r>
          </w:p>
        </w:tc>
        <w:tc>
          <w:tcPr>
            <w:tcW w:w="120" w:type="dxa"/>
            <w:vAlign w:val="bottom"/>
          </w:tcPr>
          <w:p>
            <w:pPr>
              <w:spacing w:after="0"/>
              <w:rPr>
                <w:sz w:val="17"/>
                <w:szCs w:val="17"/>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58,119</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65,677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100" w:type="dxa"/>
            <w:vAlign w:val="bottom"/>
          </w:tcPr>
          <w:p>
            <w:pPr>
              <w:spacing w:after="0"/>
              <w:rPr>
                <w:sz w:val="17"/>
                <w:szCs w:val="17"/>
                <w:color w:val="auto"/>
              </w:rPr>
            </w:pPr>
          </w:p>
        </w:tc>
      </w:tr>
      <w:tr>
        <w:trPr>
          <w:trHeight w:val="196"/>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920,324</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600,282</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85,542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259,819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37,024</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59,852</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Pr>
          <w:p>
            <w:pPr>
              <w:spacing w:after="0"/>
              <w:rPr>
                <w:sz w:val="17"/>
                <w:szCs w:val="17"/>
                <w:color w:val="auto"/>
              </w:rPr>
            </w:pPr>
          </w:p>
        </w:tc>
      </w:tr>
      <w:tr>
        <w:trPr>
          <w:trHeight w:val="196"/>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80,346</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326,556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46,533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1,000,670</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926,838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132,075</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339,832</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216,119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30,797</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51,945</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249,329</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163,383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23,282</w:t>
            </w:r>
          </w:p>
        </w:tc>
        <w:tc>
          <w:tcPr>
            <w:tcW w:w="100" w:type="dxa"/>
            <w:vAlign w:val="bottom"/>
          </w:tcPr>
          <w:p>
            <w:pPr>
              <w:spacing w:after="0"/>
              <w:rPr>
                <w:sz w:val="17"/>
                <w:szCs w:val="17"/>
                <w:color w:val="auto"/>
              </w:rPr>
            </w:pPr>
          </w:p>
        </w:tc>
      </w:tr>
      <w:tr>
        <w:trPr>
          <w:trHeight w:val="196"/>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653,452</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453,399</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64,609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45,360</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32,355</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45,360</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32,355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4,611</w:t>
            </w:r>
          </w:p>
        </w:tc>
        <w:tc>
          <w:tcPr>
            <w:tcW w:w="100" w:type="dxa"/>
            <w:vAlign w:val="bottom"/>
          </w:tcPr>
          <w:p>
            <w:pPr>
              <w:spacing w:after="0"/>
              <w:rPr>
                <w:sz w:val="17"/>
                <w:szCs w:val="17"/>
                <w:color w:val="auto"/>
              </w:rPr>
            </w:pPr>
          </w:p>
        </w:tc>
      </w:tr>
      <w:tr>
        <w:trPr>
          <w:trHeight w:val="196"/>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698,812</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485,754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69,220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2,733,560</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2,815,884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401,261</w:t>
            </w:r>
          </w:p>
        </w:tc>
        <w:tc>
          <w:tcPr>
            <w:tcW w:w="100" w:type="dxa"/>
            <w:vAlign w:val="bottom"/>
          </w:tcPr>
          <w:p>
            <w:pPr>
              <w:spacing w:after="0"/>
              <w:rPr>
                <w:sz w:val="17"/>
                <w:szCs w:val="17"/>
                <w:color w:val="auto"/>
              </w:rPr>
            </w:pPr>
          </w:p>
        </w:tc>
      </w:tr>
      <w:tr>
        <w:trPr>
          <w:trHeight w:val="19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(2,431,702 )</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(2,374,800 )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(338,406 )</w:t>
            </w:r>
          </w:p>
        </w:tc>
      </w:tr>
      <w:tr>
        <w:trPr>
          <w:trHeight w:val="196"/>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deficit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1,000,670</w:t>
            </w:r>
          </w:p>
        </w:tc>
        <w:tc>
          <w:tcPr>
            <w:tcW w:w="1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926,838</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132,075</w:t>
            </w:r>
          </w:p>
        </w:tc>
        <w:tc>
          <w:tcPr>
            <w:tcW w:w="100" w:type="dxa"/>
            <w:vAlign w:val="bottom"/>
            <w:tcBorders>
              <w:top w:val="single" w:sz="8" w:color="CFF0FC"/>
            </w:tcBorders>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-2965450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-2965450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-2176780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-2176780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-976630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-976630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-710565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-710565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-436245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-436245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-162560</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-162560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9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9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8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8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100" w:type="dxa"/>
            <w:vAlign w:val="bottom"/>
          </w:tcPr>
          <w:p>
            <w:pPr>
              <w:spacing w:after="0"/>
              <w:rPr>
                <w:sz w:val="12"/>
                <w:szCs w:val="12"/>
                <w:color w:val="auto"/>
              </w:rPr>
            </w:pPr>
          </w:p>
        </w:tc>
        <w:tc>
          <w:tcPr>
            <w:tcW w:w="8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86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9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1,194,276</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1,154,788</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164,556</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3,316,495</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3,439,284</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490,094</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(1,086,434 )</w:t>
            </w: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(1,024,457 )</w:t>
            </w: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(145,984 )</w:t>
            </w: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(3,025,814 )</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(3,051,636 )</w:t>
            </w: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(434,855 )</w:t>
            </w:r>
          </w:p>
        </w:tc>
      </w:tr>
      <w:tr>
        <w:trPr>
          <w:trHeight w:val="142"/>
        </w:trPr>
        <w:tc>
          <w:tcPr>
            <w:tcW w:w="52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107,842</w:t>
            </w:r>
          </w:p>
        </w:tc>
        <w:tc>
          <w:tcPr>
            <w:tcW w:w="12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130,331</w:t>
            </w:r>
          </w:p>
        </w:tc>
        <w:tc>
          <w:tcPr>
            <w:tcW w:w="12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18,572</w:t>
            </w:r>
          </w:p>
        </w:tc>
        <w:tc>
          <w:tcPr>
            <w:tcW w:w="10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290,681</w:t>
            </w:r>
          </w:p>
        </w:tc>
        <w:tc>
          <w:tcPr>
            <w:tcW w:w="10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387,648</w:t>
            </w:r>
          </w:p>
        </w:tc>
        <w:tc>
          <w:tcPr>
            <w:tcW w:w="12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55,239</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(43,518 )</w:t>
            </w:r>
          </w:p>
        </w:tc>
        <w:tc>
          <w:tcPr>
            <w:tcW w:w="10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(43,931 )</w:t>
            </w:r>
          </w:p>
        </w:tc>
        <w:tc>
          <w:tcPr>
            <w:tcW w:w="9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(6,260 )</w:t>
            </w:r>
          </w:p>
        </w:tc>
        <w:tc>
          <w:tcPr>
            <w:tcW w:w="9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(141,568 )</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(133,669 )</w:t>
            </w:r>
          </w:p>
        </w:tc>
        <w:tc>
          <w:tcPr>
            <w:tcW w:w="10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(19,048 )</w:t>
            </w:r>
          </w:p>
        </w:tc>
      </w:tr>
      <w:tr>
        <w:trPr>
          <w:trHeight w:val="148"/>
        </w:trPr>
        <w:tc>
          <w:tcPr>
            <w:tcW w:w="5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(26,969 )</w:t>
            </w: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(18,058 )</w:t>
            </w: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(2,573 )</w:t>
            </w: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(79,399 )</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(63,563 )</w:t>
            </w: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(9,058 )</w:t>
            </w:r>
          </w:p>
        </w:tc>
      </w:tr>
      <w:tr>
        <w:trPr>
          <w:trHeight w:val="148"/>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(20,750 )</w:t>
            </w:r>
          </w:p>
        </w:tc>
        <w:tc>
          <w:tcPr>
            <w:tcW w:w="10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(22,171 )</w:t>
            </w:r>
          </w:p>
        </w:tc>
        <w:tc>
          <w:tcPr>
            <w:tcW w:w="9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(3,159 )</w:t>
            </w:r>
          </w:p>
        </w:tc>
        <w:tc>
          <w:tcPr>
            <w:tcW w:w="9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(71,480 )</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(63,477 )</w:t>
            </w:r>
          </w:p>
        </w:tc>
        <w:tc>
          <w:tcPr>
            <w:tcW w:w="10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(9,045 )</w:t>
            </w:r>
          </w:p>
        </w:tc>
      </w:tr>
      <w:tr>
        <w:trPr>
          <w:trHeight w:val="20"/>
        </w:trPr>
        <w:tc>
          <w:tcPr>
            <w:tcW w:w="5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(91,237 )</w:t>
            </w:r>
          </w:p>
        </w:tc>
        <w:tc>
          <w:tcPr>
            <w:tcW w:w="10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(84,160 )</w:t>
            </w:r>
          </w:p>
        </w:tc>
        <w:tc>
          <w:tcPr>
            <w:tcW w:w="9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(11,992 )</w:t>
            </w:r>
          </w:p>
        </w:tc>
        <w:tc>
          <w:tcPr>
            <w:tcW w:w="9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(292,447 )</w:t>
            </w:r>
          </w:p>
        </w:tc>
        <w:tc>
          <w:tcPr>
            <w:tcW w:w="9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(260,709 )</w:t>
            </w:r>
          </w:p>
        </w:tc>
        <w:tc>
          <w:tcPr>
            <w:tcW w:w="10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(37,151 )</w:t>
            </w:r>
          </w:p>
        </w:tc>
      </w:tr>
      <w:tr>
        <w:trPr>
          <w:trHeight w:val="20"/>
        </w:trPr>
        <w:tc>
          <w:tcPr>
            <w:tcW w:w="5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2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16,605</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46,171</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6,580</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(1,766 )</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126,939</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18,088</w:t>
            </w:r>
          </w:p>
        </w:tc>
        <w:tc>
          <w:tcPr>
            <w:tcW w:w="100" w:type="dxa"/>
            <w:vAlign w:val="bottom"/>
            <w:shd w:val="clear" w:color="auto" w:fill="CFF0FC"/>
          </w:tcPr>
          <w:p>
            <w:pPr>
              <w:spacing w:after="0"/>
              <w:rPr>
                <w:sz w:val="12"/>
                <w:szCs w:val="12"/>
                <w:color w:val="auto"/>
              </w:rPr>
            </w:pPr>
          </w:p>
        </w:tc>
      </w:tr>
      <w:tr>
        <w:trPr>
          <w:trHeight w:val="142"/>
        </w:trPr>
        <w:tc>
          <w:tcPr>
            <w:tcW w:w="528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5,060</w:t>
            </w:r>
          </w:p>
        </w:tc>
        <w:tc>
          <w:tcPr>
            <w:tcW w:w="12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4,636</w:t>
            </w: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15,048</w:t>
            </w:r>
          </w:p>
        </w:tc>
        <w:tc>
          <w:tcPr>
            <w:tcW w:w="10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16,535</w:t>
            </w:r>
          </w:p>
        </w:tc>
        <w:tc>
          <w:tcPr>
            <w:tcW w:w="12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2,356</w:t>
            </w:r>
          </w:p>
        </w:tc>
        <w:tc>
          <w:tcPr>
            <w:tcW w:w="100" w:type="dxa"/>
            <w:vAlign w:val="bottom"/>
            <w:tcBorders>
              <w:top w:val="single" w:sz="8" w:color="CFF0FC"/>
            </w:tcBorders>
          </w:tcPr>
          <w:p>
            <w:pPr>
              <w:spacing w:after="0"/>
              <w:rPr>
                <w:sz w:val="12"/>
                <w:szCs w:val="12"/>
                <w:color w:val="auto"/>
              </w:rPr>
            </w:pPr>
          </w:p>
        </w:tc>
      </w:tr>
      <w:tr>
        <w:trPr>
          <w:trHeight w:val="148"/>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fair value of long-term investments</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(33,805 )</w:t>
            </w:r>
          </w:p>
        </w:tc>
        <w:tc>
          <w:tcPr>
            <w:tcW w:w="9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(4,817 )</w:t>
            </w:r>
          </w:p>
        </w:tc>
        <w:tc>
          <w:tcPr>
            <w:tcW w:w="9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(33,686 )</w:t>
            </w:r>
          </w:p>
        </w:tc>
        <w:tc>
          <w:tcPr>
            <w:tcW w:w="10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(4,800 )</w:t>
            </w:r>
          </w:p>
        </w:tc>
      </w:tr>
      <w:tr>
        <w:trPr>
          <w:trHeight w:val="149"/>
        </w:trPr>
        <w:tc>
          <w:tcPr>
            <w:tcW w:w="5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income</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3,661</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2"/>
                <w:szCs w:val="12"/>
                <w:color w:val="auto"/>
              </w:rPr>
            </w:pPr>
          </w:p>
        </w:tc>
      </w:tr>
      <w:tr>
        <w:trPr>
          <w:trHeight w:val="148"/>
        </w:trPr>
        <w:tc>
          <w:tcPr>
            <w:tcW w:w="528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11,849</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5,823</w:t>
            </w:r>
          </w:p>
        </w:tc>
        <w:tc>
          <w:tcPr>
            <w:tcW w:w="1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60,076</w:t>
            </w:r>
          </w:p>
        </w:tc>
        <w:tc>
          <w:tcPr>
            <w:tcW w:w="1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34,351</w:t>
            </w: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4,895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34,962</w:t>
            </w: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23,829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3,397</w:t>
            </w: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77,019</w:t>
            </w: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147,580</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21,029</w:t>
            </w:r>
          </w:p>
        </w:tc>
        <w:tc>
          <w:tcPr>
            <w:tcW w:w="100" w:type="dxa"/>
            <w:vAlign w:val="bottom"/>
          </w:tcPr>
          <w:p>
            <w:pPr>
              <w:spacing w:after="0"/>
              <w:rPr>
                <w:sz w:val="12"/>
                <w:szCs w:val="12"/>
                <w:color w:val="auto"/>
              </w:rPr>
            </w:pPr>
          </w:p>
        </w:tc>
      </w:tr>
      <w:tr>
        <w:trPr>
          <w:trHeight w:val="148"/>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(68 )</w:t>
            </w:r>
          </w:p>
        </w:tc>
        <w:tc>
          <w:tcPr>
            <w:tcW w:w="10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(10 )</w:t>
            </w:r>
          </w:p>
        </w:tc>
      </w:tr>
      <w:tr>
        <w:trPr>
          <w:trHeight w:val="142"/>
        </w:trPr>
        <w:tc>
          <w:tcPr>
            <w:tcW w:w="528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34,962</w:t>
            </w:r>
          </w:p>
        </w:tc>
        <w:tc>
          <w:tcPr>
            <w:tcW w:w="12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23,829</w:t>
            </w: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3,397</w:t>
            </w:r>
          </w:p>
        </w:tc>
        <w:tc>
          <w:tcPr>
            <w:tcW w:w="10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77,019</w:t>
            </w:r>
          </w:p>
        </w:tc>
        <w:tc>
          <w:tcPr>
            <w:tcW w:w="10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147,512</w:t>
            </w:r>
          </w:p>
        </w:tc>
        <w:tc>
          <w:tcPr>
            <w:tcW w:w="12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21,019</w:t>
            </w:r>
          </w:p>
        </w:tc>
        <w:tc>
          <w:tcPr>
            <w:tcW w:w="100" w:type="dxa"/>
            <w:vAlign w:val="bottom"/>
            <w:tcBorders>
              <w:top w:val="single" w:sz="8" w:color="CFF0FC"/>
            </w:tcBorders>
          </w:tcPr>
          <w:p>
            <w:pPr>
              <w:spacing w:after="0"/>
              <w:rPr>
                <w:sz w:val="12"/>
                <w:szCs w:val="12"/>
                <w:color w:val="auto"/>
              </w:rPr>
            </w:pPr>
          </w:p>
        </w:tc>
      </w:tr>
      <w:tr>
        <w:trPr>
          <w:trHeight w:val="148"/>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convertible preferred shares to redemption value</w:t>
            </w: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(37,601 )</w:t>
            </w:r>
          </w:p>
        </w:tc>
        <w:tc>
          <w:tcPr>
            <w:tcW w:w="10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(37,253 )</w:t>
            </w:r>
          </w:p>
        </w:tc>
        <w:tc>
          <w:tcPr>
            <w:tcW w:w="9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(5,309 )</w:t>
            </w:r>
          </w:p>
        </w:tc>
        <w:tc>
          <w:tcPr>
            <w:tcW w:w="9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(108,959 )</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(110,827 )</w:t>
            </w:r>
          </w:p>
        </w:tc>
        <w:tc>
          <w:tcPr>
            <w:tcW w:w="10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(15,793 )</w:t>
            </w:r>
          </w:p>
        </w:tc>
      </w:tr>
      <w:tr>
        <w:trPr>
          <w:trHeight w:val="20"/>
        </w:trPr>
        <w:tc>
          <w:tcPr>
            <w:tcW w:w="5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 attributable to ordinary shareholders</w:t>
            </w:r>
          </w:p>
        </w:tc>
        <w:tc>
          <w:tcPr>
            <w:tcW w:w="1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(2,639 )</w:t>
            </w:r>
          </w:p>
        </w:tc>
        <w:tc>
          <w:tcPr>
            <w:tcW w:w="10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(13,424 )</w:t>
            </w:r>
          </w:p>
        </w:tc>
        <w:tc>
          <w:tcPr>
            <w:tcW w:w="9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(1,912 )</w:t>
            </w:r>
          </w:p>
        </w:tc>
        <w:tc>
          <w:tcPr>
            <w:tcW w:w="9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(31,940 )</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36,685</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5,226</w:t>
            </w:r>
          </w:p>
        </w:tc>
        <w:tc>
          <w:tcPr>
            <w:tcW w:w="100" w:type="dxa"/>
            <w:vAlign w:val="bottom"/>
          </w:tcPr>
          <w:p>
            <w:pPr>
              <w:spacing w:after="0"/>
              <w:rPr>
                <w:sz w:val="12"/>
                <w:szCs w:val="12"/>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2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Net earnings (loss) per ordinary share</w:t>
            </w: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Basic and diluted — Class A and B</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(0.04 )</w:t>
            </w: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(0.19 )</w:t>
            </w: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(0.03 )</w:t>
            </w: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(0.44 )</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2"/>
                <w:szCs w:val="12"/>
                <w:color w:val="auto"/>
              </w:rPr>
            </w:pPr>
          </w:p>
        </w:tc>
      </w:tr>
      <w:tr>
        <w:trPr>
          <w:trHeight w:val="124"/>
        </w:trPr>
        <w:tc>
          <w:tcPr>
            <w:tcW w:w="528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Weighted average number of shares outstanding used in</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computing net earnings (loss) per ordinary share</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8"/>
        </w:trPr>
        <w:tc>
          <w:tcPr>
            <w:tcW w:w="5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Basic and diluted – Class 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26,422,222</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26,422,222</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26,422,222</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26,422,222</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26,422,222</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26,422,222</w:t>
            </w:r>
          </w:p>
        </w:tc>
        <w:tc>
          <w:tcPr>
            <w:tcW w:w="100" w:type="dxa"/>
            <w:vAlign w:val="bottom"/>
          </w:tcPr>
          <w:p>
            <w:pPr>
              <w:spacing w:after="0"/>
              <w:rPr>
                <w:sz w:val="12"/>
                <w:szCs w:val="12"/>
                <w:color w:val="auto"/>
              </w:rPr>
            </w:pPr>
          </w:p>
        </w:tc>
      </w:tr>
      <w:tr>
        <w:trPr>
          <w:trHeight w:val="148"/>
        </w:trPr>
        <w:tc>
          <w:tcPr>
            <w:tcW w:w="5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 Basic and diluted – Class B</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45,577,778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45,577,778</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45,577,778</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45,577,778</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45,577,778</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45,577,778</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-1679575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-1679575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-1679575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-1679575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-1679575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-1473835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-1473835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-1473835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-1473835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-1473835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-1087755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-1087755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-1087755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-1087755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-1087755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-890905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-890905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-890905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-890905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-890905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-693420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-693420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-693420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-693420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-693420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64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9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540" w:type="dxa"/>
            <w:vAlign w:val="bottom"/>
          </w:tcPr>
          <w:p>
            <w:pPr>
              <w:spacing w:after="0"/>
              <w:rPr>
                <w:sz w:val="17"/>
                <w:szCs w:val="17"/>
                <w:color w:val="auto"/>
              </w:rPr>
            </w:pPr>
          </w:p>
        </w:tc>
        <w:tc>
          <w:tcPr>
            <w:tcW w:w="8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8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Borders>
              <w:top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6"/>
        </w:trPr>
        <w:tc>
          <w:tcPr>
            <w:tcW w:w="5540" w:type="dxa"/>
            <w:vAlign w:val="bottom"/>
          </w:tcPr>
          <w:p>
            <w:pPr>
              <w:spacing w:after="0"/>
              <w:rPr>
                <w:sz w:val="17"/>
                <w:szCs w:val="17"/>
                <w:color w:val="auto"/>
              </w:rPr>
            </w:pPr>
          </w:p>
        </w:tc>
        <w:tc>
          <w:tcPr>
            <w:tcW w:w="8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USD</w:t>
            </w:r>
          </w:p>
        </w:tc>
        <w:tc>
          <w:tcPr>
            <w:tcW w:w="100" w:type="dxa"/>
            <w:vAlign w:val="bottom"/>
          </w:tcPr>
          <w:p>
            <w:pPr>
              <w:spacing w:after="0"/>
              <w:rPr>
                <w:sz w:val="17"/>
                <w:szCs w:val="17"/>
                <w:color w:val="auto"/>
              </w:rPr>
            </w:pPr>
          </w:p>
        </w:tc>
        <w:tc>
          <w:tcPr>
            <w:tcW w:w="8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USD</w:t>
            </w:r>
          </w:p>
        </w:tc>
        <w:tc>
          <w:tcPr>
            <w:tcW w:w="100" w:type="dxa"/>
            <w:vAlign w:val="bottom"/>
          </w:tcPr>
          <w:p>
            <w:pPr>
              <w:spacing w:after="0"/>
              <w:rPr>
                <w:sz w:val="17"/>
                <w:szCs w:val="17"/>
                <w:color w:val="auto"/>
              </w:rPr>
            </w:pPr>
          </w:p>
        </w:tc>
      </w:tr>
      <w:tr>
        <w:trPr>
          <w:trHeight w:val="193"/>
        </w:trPr>
        <w:tc>
          <w:tcPr>
            <w:tcW w:w="5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34,962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23,829</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3,397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147,512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21,019</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Changes in fair value of long-term investments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33,805</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33,686</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00" w:type="dxa"/>
            <w:vAlign w:val="bottom"/>
          </w:tcPr>
          <w:p>
            <w:pPr>
              <w:spacing w:after="0"/>
              <w:rPr>
                <w:sz w:val="17"/>
                <w:szCs w:val="17"/>
                <w:color w:val="auto"/>
              </w:rPr>
            </w:pPr>
          </w:p>
        </w:tc>
      </w:tr>
      <w:tr>
        <w:trPr>
          <w:trHeight w:val="19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34,962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57,634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8,214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181,198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25,819</w:t>
            </w:r>
          </w:p>
        </w:tc>
        <w:tc>
          <w:tcPr>
            <w:tcW w:w="100" w:type="dxa"/>
            <w:vAlign w:val="bottom"/>
            <w:shd w:val="clear" w:color="auto" w:fill="CFF0FC"/>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margin</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2.9 %</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2.1 %</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2.3 %</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4.3 %</w:t>
            </w:r>
          </w:p>
        </w:tc>
      </w:tr>
      <w:tr>
        <w:trPr>
          <w:trHeight w:val="20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 Changes in fair value of long-term investments as a percentage of revenues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2.9 %</w:t>
            </w:r>
          </w:p>
        </w:tc>
        <w:tc>
          <w:tcPr>
            <w:tcW w:w="132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1.0 %</w:t>
            </w:r>
          </w:p>
        </w:tc>
      </w:tr>
      <w:tr>
        <w:trPr>
          <w:trHeight w:val="20"/>
        </w:trPr>
        <w:tc>
          <w:tcPr>
            <w:tcW w:w="55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r>
      <w:tr>
        <w:trPr>
          <w:trHeight w:val="206"/>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margin</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2.9 %</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5.0 %</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2.3 %</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-142875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-142875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-142875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-142875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2024-11-27T05:22:20Z</dcterms:created>
  <dcterms:modified xsi:type="dcterms:W3CDTF">2024-11-27T05:22:20Z</dcterms:modified>
</cp:coreProperties>
</file>