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-621030</wp:posOffset>
            </wp:positionV>
            <wp:extent cx="5778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3966845</wp:posOffset>
            </wp:positionH>
            <wp:positionV relativeFrom="paragraph">
              <wp:posOffset>-621030</wp:posOffset>
            </wp:positionV>
            <wp:extent cx="57785" cy="634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737235</wp:posOffset>
            </wp:positionV>
            <wp:extent cx="6994525" cy="47936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793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Yu Hongjian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60"/>
        <w:spacing w:after="0" w:line="3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NO.1 YONGTAIZHUANG NORTH ROAD, HAIDIAN DISTRICT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BingEx Ltd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FLX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60" w:firstLine="9"/>
        <w:spacing w:after="0" w:line="255" w:lineRule="auto"/>
        <w:tabs>
          <w:tab w:leader="none" w:pos="13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93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President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BEIJING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100192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1,624,931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0.86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1,624,914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Acquired upon vesting of restricted share units.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Represents shares adjusted due to ADS ratio and shares withheld for administrative fees upon vesting of restricted share units.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Each restricted share unit represents the contingent right to receive one Class A ordinary share.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4. These 125,000 restricted shares units were vested on January 3, 2026 and settled on March 19, 2026.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/s/ Hongjian Yu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-2904490</wp:posOffset>
            </wp:positionV>
            <wp:extent cx="29210" cy="17557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755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1"/>
        <w:spacing w:after="0" w:line="3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6026" TargetMode="External"/><Relationship Id="rId14" Type="http://schemas.openxmlformats.org/officeDocument/2006/relationships/hyperlink" Target="http://www.sec.gov/cgi-bin/browse-edgar?action=getcompany&amp;CIK=00018587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2026-03-23T07:19:04Z</dcterms:created>
  <dcterms:modified xsi:type="dcterms:W3CDTF">2026-03-23T07:19:04Z</dcterms:modified>
</cp:coreProperties>
</file>