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001-42291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BingEx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6, Zhongguancun Dongsheng International Science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 Yongtaizhuang North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Haidian District, Beijing 100192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995"/>
        <w:gridCol w:w="60"/>
        <w:gridCol w:w="6800"/>
      </w:tblGrid>
      <w:tr>
        <w:trPr/>
        <w:tc>
          <w:tcPr>
            <w:tcW w:w="995" w:type="dxa"/>
            <w:tcBorders/>
            <w:vAlign w:val="center"/>
          </w:tcPr>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Release—BingEx Limited Announces Second Quarter 2026 Financial Results</w:t>
              </w:r>
            </w:hyperlink>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6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BingEx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Le Tang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Tang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20,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BingEx Limited Announces Second Quarter 2026 Financial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Beijing, China, August 20, 2026</w:t>
      </w:r>
      <w:r>
        <w:rPr>
          <w:rFonts w:ascii="Times New Roman;Times;Serif" w:hAnsi="Times New Roman;Times;Serif"/>
          <w:b w:val="false"/>
          <w:i w:val="false"/>
          <w:caps w:val="false"/>
          <w:smallCaps w:val="false"/>
          <w:sz w:val="20"/>
        </w:rPr>
        <w:t xml:space="preserve"> – BingEx Limited (the “Company”) (Nasdaq: FLX), a leading on-demand dedicated courier service provider in China (branded as “FlashEx”), today announced its unaudited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Revenues</w:t>
            </w:r>
            <w:r>
              <w:rPr>
                <w:rFonts w:ascii="Times New Roman;Times;Serif" w:hAnsi="Times New Roman;Times;Serif"/>
                <w:b w:val="false"/>
                <w:i w:val="false"/>
                <w:caps w:val="false"/>
                <w:smallCaps w:val="false"/>
                <w:sz w:val="20"/>
              </w:rPr>
              <w:t xml:space="preserve"> were RMB940.3 million (US$138.6 million) in the second quarter of 2026, compared with RMB1,024.6 million in the same period of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was RMB95.5 million (US$14.1 million) in the second quarter of 2026, compared with RMB122.7 million in the same period of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Income from operations </w:t>
            </w:r>
            <w:r>
              <w:rPr>
                <w:rFonts w:ascii="Times New Roman;Times;Serif" w:hAnsi="Times New Roman;Times;Serif"/>
                <w:b w:val="false"/>
                <w:i w:val="false"/>
                <w:caps w:val="false"/>
                <w:smallCaps w:val="false"/>
                <w:sz w:val="20"/>
              </w:rPr>
              <w:t>was RMB7.3 million (US$1.1 million) in the second quarter of 2026, compared with RMB19.3 million in the same period of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income from operations</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was RMB10.8 million (US$1.6 million) in the second quarter of 2026, compared with RMB31.9 million in the same period of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was RMB34.0 million (US$5.0 million) in the second quarter of 2026, compared with net income of RMB53.5 million in the same period of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net income</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was RMB11.4 million (US$1.7 million) in the second quarter of 2026, compared with RMB45.6 million in the same period of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number of orders fulfilled </w:t>
            </w:r>
            <w:r>
              <w:rPr>
                <w:rFonts w:ascii="Times New Roman;Times;Serif" w:hAnsi="Times New Roman;Times;Serif"/>
                <w:b w:val="false"/>
                <w:i w:val="false"/>
                <w:caps w:val="false"/>
                <w:smallCaps w:val="false"/>
                <w:sz w:val="20"/>
              </w:rPr>
              <w:t>was 63.1 million in the second quarter of 2026.</w:t>
            </w:r>
          </w:p>
        </w:tc>
      </w:tr>
    </w:tbl>
    <w:p>
      <w:pPr>
        <w:pStyle w:val="TextBody"/>
        <w:bidi w:val="0"/>
        <w:spacing w:before="0" w:after="0"/>
        <w:ind w:left="979" w:right="0" w:hanging="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Adam Xue, Founder, Chairman, and Chief Executive Officer of FlashEx, commented,</w:t>
      </w:r>
      <w:r>
        <w:rPr>
          <w:rFonts w:ascii="Times New Roman;Times;Serif" w:hAnsi="Times New Roman;Times;Serif"/>
          <w:b w:val="false"/>
          <w:i w:val="false"/>
          <w:caps w:val="false"/>
          <w:smallCaps w:val="false"/>
          <w:sz w:val="20"/>
        </w:rPr>
        <w:t xml:space="preserve"> “In the second quarter of 2026, amid a persistently challenging market environment, we continued to optimize capacity allocation while expanding both our usage scenarios and service offerings. This drove a sequential recovery in our core operating metrics, with service scale and delivery efficiency improving in parallel. The quarter also marked a step forward in how AI is reshaping our business. Externally, we are embedding our fulfillment capability directly into emerging AI ecosystems, extending our reach to the point where user demand originates. Internally, AI has evolved from a set of isolated applications into a systemic capability that underpins the way our organization operates. Together with our low-altitude logistics business moving from pilot routes to multi-route commercial operation, these efforts position FlashEx to deliver sustainable long-term value for all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Mr. Luke Tang, Chief Financial Officer of FlashEx, said, </w:t>
      </w:r>
      <w:r>
        <w:rPr>
          <w:rFonts w:ascii="Times New Roman;Times;Serif" w:hAnsi="Times New Roman;Times;Serif"/>
          <w:b w:val="false"/>
          <w:i w:val="false"/>
          <w:caps w:val="false"/>
          <w:smallCaps w:val="false"/>
          <w:sz w:val="20"/>
        </w:rPr>
        <w:t>“Our differentiated on-demand dedicated courier model continued to demonstrate resilience as we further refined operations in the second quarter. We closed the quarter with RMB853.4 million in cash and short-term investments and had repurchased approximately 3.9 million ADSs for approximately US$11.8 million in aggregate as of August 19, 2026. As AI becomes increasingly embedded across the organization, we are confident it will support a structural improvement in our operating expense ratio over the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 Quarter 2026 Financial Results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Revenues</w:t>
      </w:r>
      <w:r>
        <w:rPr>
          <w:rFonts w:ascii="Times New Roman;Times;Serif" w:hAnsi="Times New Roman;Times;Serif"/>
          <w:b w:val="false"/>
          <w:i w:val="false"/>
          <w:caps w:val="false"/>
          <w:smallCaps w:val="false"/>
          <w:sz w:val="20"/>
        </w:rPr>
        <w:t xml:space="preserve"> were RMB940.3 million (US$138.6 million) in the second quarter of 2026, compared with RMB1,024.6 million in the same period of 2025. The decrease was primarily driven by intensifying market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of revenues</w:t>
      </w:r>
      <w:r>
        <w:rPr>
          <w:rFonts w:ascii="Times New Roman;Times;Serif" w:hAnsi="Times New Roman;Times;Serif"/>
          <w:b w:val="false"/>
          <w:i w:val="false"/>
          <w:caps w:val="false"/>
          <w:smallCaps w:val="false"/>
          <w:sz w:val="20"/>
        </w:rPr>
        <w:t xml:space="preserve"> was RMB844.7 million (US$124.5 million), compared with RMB901.9 million in the same period of 2025. The decrease was in line with the decline in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was RMB95.5 million (US$14.1 million), compared with RMB122.7 million in the same period of 2025. Gross profit margin was 10.2%, compared with 12.0% in the same period of 2025.</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Non-GAAP income from operations, non-GAAP net income, non-GAAP net income attributable to ordinary shareholders, non-GAAP operating margin and non-GAAP net income margin are non-GAAP financial measures. For more information on non-GAAP financial measures, please see the section “Use of Non-GAAP Financial Measures” and the table captioned “Reconciliations of GAAP and Non-GAAP Results.”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operating expenses</w:t>
      </w:r>
      <w:r>
        <w:rPr>
          <w:rFonts w:ascii="Times New Roman;Times;Serif" w:hAnsi="Times New Roman;Times;Serif"/>
          <w:b w:val="false"/>
          <w:i w:val="false"/>
          <w:caps w:val="false"/>
          <w:smallCaps w:val="false"/>
          <w:sz w:val="20"/>
        </w:rPr>
        <w:t xml:space="preserve"> were RMB88.3 million (US$13.0 million), representing a decrease of 14.6% from RMB103.4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Selling and marketing expenses</w:t>
      </w:r>
      <w:r>
        <w:rPr>
          <w:rFonts w:ascii="Times New Roman;Times;Serif" w:hAnsi="Times New Roman;Times;Serif"/>
          <w:b w:val="false"/>
          <w:i w:val="false"/>
          <w:caps w:val="false"/>
          <w:smallCaps w:val="false"/>
          <w:sz w:val="20"/>
        </w:rPr>
        <w:t xml:space="preserve"> were RMB36.6 million (US$5.4 million), representing a decrease of 24.0% from RMB48.2 million in the same period of 2025. The decrease was primarily attributable to the reduction in advertising expenses, staff costs and share-based payment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and administrative expenses</w:t>
      </w:r>
      <w:r>
        <w:rPr>
          <w:rFonts w:ascii="Times New Roman;Times;Serif" w:hAnsi="Times New Roman;Times;Serif"/>
          <w:b w:val="false"/>
          <w:i w:val="false"/>
          <w:caps w:val="false"/>
          <w:smallCaps w:val="false"/>
          <w:sz w:val="20"/>
        </w:rPr>
        <w:t xml:space="preserve"> were relatively stable at RMB37.9 million (US$5.6 million), compared with RMB36.0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Research and development expenses</w:t>
      </w:r>
      <w:r>
        <w:rPr>
          <w:rFonts w:ascii="Times New Roman;Times;Serif" w:hAnsi="Times New Roman;Times;Serif"/>
          <w:b w:val="false"/>
          <w:i w:val="false"/>
          <w:caps w:val="false"/>
          <w:smallCaps w:val="false"/>
          <w:sz w:val="20"/>
        </w:rPr>
        <w:t xml:space="preserve"> were RMB13.7 million (US$2.0 million), representing a decrease of 28.6% from RMB19.2 million in the same period of 2025. The decrease was primarily attributable to the reduction in share-based payment expenses and staff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from operations</w:t>
      </w:r>
      <w:r>
        <w:rPr>
          <w:rFonts w:ascii="Times New Roman;Times;Serif" w:hAnsi="Times New Roman;Times;Serif"/>
          <w:b w:val="false"/>
          <w:i w:val="false"/>
          <w:caps w:val="false"/>
          <w:smallCaps w:val="false"/>
          <w:sz w:val="20"/>
        </w:rPr>
        <w:t xml:space="preserve"> was RMB7.3 million (US$1.1 million), compared with RMB19.3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income from operations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was RMB10.8 million (US$1.6 million), compared with RMB31.9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Changes in fair value of long-term investments</w:t>
      </w:r>
      <w:r>
        <w:rPr>
          <w:rFonts w:ascii="Times New Roman;Times;Serif" w:hAnsi="Times New Roman;Times;Serif"/>
          <w:b w:val="false"/>
          <w:i w:val="false"/>
          <w:caps w:val="false"/>
          <w:smallCaps w:val="false"/>
          <w:sz w:val="20"/>
        </w:rPr>
        <w:t xml:space="preserve"> recorded losses of RMB41.7 million (US$6.2 million), compared with earnings of RMB20.5 million in the same period of 2025, reflecting the decrease in the fair value measurement of long-term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Investment loss</w:t>
      </w:r>
      <w:r>
        <w:rPr>
          <w:rFonts w:ascii="Times New Roman;Times;Serif" w:hAnsi="Times New Roman;Times;Serif"/>
          <w:b w:val="false"/>
          <w:i w:val="false"/>
          <w:caps w:val="false"/>
          <w:smallCaps w:val="false"/>
          <w:sz w:val="20"/>
        </w:rPr>
        <w:t xml:space="preserve"> was RMB2.4 million (US$0.4 million), compared with an investment income of RMB9.2 million in the same period of 2025, reflecting the decrease in the fair value of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was RMB34.0 million (US$5.0 million), compared with net income of RMB53.5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net income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was RMB11.4 million (US$1.7 million), compared with RMB45.6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loss attributable to ordinary shareholders </w:t>
      </w:r>
      <w:r>
        <w:rPr>
          <w:rFonts w:ascii="Times New Roman;Times;Serif" w:hAnsi="Times New Roman;Times;Serif"/>
          <w:b w:val="false"/>
          <w:i w:val="false"/>
          <w:caps w:val="false"/>
          <w:smallCaps w:val="false"/>
          <w:sz w:val="20"/>
        </w:rPr>
        <w:t>was RMB34.0 million (US$5.0 million), compared with net income attributable to ordinary shareholders of RMB53.5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net income attributable to ordinary shareholders</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was RMB11.3 million (US$1.7 million), compared with RMB45.6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Basic net loss per ordinary share</w:t>
      </w:r>
      <w:r>
        <w:rPr>
          <w:rFonts w:ascii="Times New Roman;Times;Serif" w:hAnsi="Times New Roman;Times;Serif"/>
          <w:b w:val="false"/>
          <w:i w:val="false"/>
          <w:caps w:val="false"/>
          <w:smallCaps w:val="false"/>
          <w:sz w:val="20"/>
        </w:rPr>
        <w:t xml:space="preserve"> was RMB0.17 (US$0.03).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Diluted net loss per ordinary share</w:t>
      </w:r>
      <w:r>
        <w:rPr>
          <w:rFonts w:ascii="Times New Roman;Times;Serif" w:hAnsi="Times New Roman;Times;Serif"/>
          <w:b w:val="false"/>
          <w:i w:val="false"/>
          <w:caps w:val="false"/>
          <w:smallCaps w:val="false"/>
          <w:sz w:val="20"/>
        </w:rPr>
        <w:t xml:space="preserve"> was RMB0.17 (US$0.03).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t>
      </w:r>
      <w:r>
        <w:rPr>
          <w:rFonts w:ascii="Times New Roman;Times;Serif" w:hAnsi="Times New Roman;Times;Serif"/>
          <w:b/>
          <w:i w:val="false"/>
          <w:caps w:val="false"/>
          <w:smallCaps w:val="false"/>
          <w:sz w:val="20"/>
        </w:rPr>
        <w:t>cash and cash equivalents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restricted cash</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short-term investments</w:t>
      </w:r>
      <w:r>
        <w:rPr>
          <w:rFonts w:ascii="Times New Roman;Times;Serif" w:hAnsi="Times New Roman;Times;Serif"/>
          <w:b w:val="false"/>
          <w:i w:val="false"/>
          <w:caps w:val="false"/>
          <w:smallCaps w:val="false"/>
          <w:sz w:val="20"/>
        </w:rPr>
        <w:t xml:space="preserve"> were RMB853.4 million (US$125.8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Update on Share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Board of Directors approved a one-year extension of the Company’s existing share repurchase program. The Company is authorized to repurchase up to an aggregate of US$30.0 million worth of its shares until April 1, 2027. As of August 19, 2026, the Company had repurchased a total of approximately 3.9 million ADSs in the open market with cash for an aggregate consideration of approximately US$11.8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an earnings conference call on Thursday, August 20, 2026, at 8:00PM Beijing Time (8:00AM U.S. Eastern Time) to discuss the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are required to pre-register for the conference call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https://register-conf.media-server.com/register/BI25d01e95418142d6be0cc75c8dbe6755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registration, participants will receive an email containing participant dial-in numbers and a personal PIN to join the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webcast of the conference call will be available on the Company’s investor relations website at </w:t>
      </w:r>
      <w:r>
        <w:rPr>
          <w:rFonts w:ascii="Times New Roman;Times;Serif" w:hAnsi="Times New Roman;Times;Serif"/>
          <w:b w:val="false"/>
          <w:i w:val="false"/>
          <w:caps w:val="false"/>
          <w:smallCaps w:val="false"/>
          <w:sz w:val="20"/>
          <w:u w:val="single"/>
        </w:rPr>
        <w:t>http://ir.ishansong.com</w:t>
      </w:r>
      <w:r>
        <w:rPr>
          <w:rFonts w:ascii="Times New Roman;Times;Serif" w:hAnsi="Times New Roman;Times;Serif"/>
          <w:b w:val="false"/>
          <w:i w:val="false"/>
          <w:caps w:val="false"/>
          <w:smallCaps w:val="false"/>
          <w:sz w:val="20"/>
        </w:rPr>
        <w:t>, and a replay of the webcast will be available following the session.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BingEx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BingEx Limited (Nasdaq: FLX) is a pioneer in China in providing on-demand dedicated courier services for individual and business customers with superior time certainty, delivery safety and service quality. The company brands its services as “FlashEx,” or “</w:t>
      </w:r>
      <w:r>
        <w:rPr>
          <w:rFonts w:eastAsia="Times New Roman;Times;Serif"/>
          <w:b w:val="false"/>
          <w:i w:val="false"/>
          <w:caps w:val="false"/>
          <w:smallCaps w:val="false"/>
          <w:sz w:val="20"/>
        </w:rPr>
        <w:t>闪送”</w:t>
      </w:r>
      <w:r>
        <w:rPr>
          <w:rFonts w:ascii="Times New Roman;Times;Serif" w:hAnsi="Times New Roman;Times;Serif"/>
          <w:b w:val="false"/>
          <w:i w:val="false"/>
          <w:caps w:val="false"/>
          <w:smallCaps w:val="false"/>
          <w:sz w:val="20"/>
        </w:rPr>
        <w:t>. FlashEx has become synonymous with on-demand dedicated courier services in China. With a mission to make people’s lives better through its services, FlashEx remains dedicated to consistently providing a superior customer experience and offering a unique value proposition to all participants in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http://ir.ishansong.com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financial results presented in accordance with U.S. GAAP, we use non-GAAP financial measures, namely non-GAAP income from operations, non-GAAP net income, non-GAAP net income attributable to ordinary shareholders, non-GAAP operating margin and non-GAAP net income margin, as supplemental measures to evaluate our operating results and make financial and operational decisions. Non-GAAP income from operations represents income from operations excluding share-based compensation expenses. Non-GAAP operating margin is equal to non-GAAP income from operations divided by revenues. Non-GAAP net income represents net income (loss) excluding changes in fair value of long-term investments and share-based compensation expenses. Non-GAAP net income margin is equal to non-GAAP net income divided by revenues. Non-GAAP net income attributable to ordinary shareholders represents net income (loss) attributable to ordinary shareholders excluding changes in fair value of long-term investments and share-based compensation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excluding the impact of changes in fair value of long-term investments and share-based compensation expenses, which are non-cash charges, we believe that non-GAAP financial measures help identify underlying trends in our business that could otherwise be distorted by the effect of certain earnings or losses that we include in results based on U.S. GAAP. We believe that non-GAAP financial measures provide useful information about our operating results, enhance the overall understanding of our past performance and future prospects and allow for greater visibility into key metrics used by our management in its financial and operational decision-making.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non-GAAP financial measures should be considered in addition to results prepared in accordance with U.S. GAAP but should not be considered a substitute for or superior to U.S. GAAP results. In addition, our calculation of non-GAAP financial information may be different from the calculation used by other companies, and therefore comparability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our non-GAAP results to our U.S. GAAP financial measures are set forth in tables at the end of this earnings release, which provide more details on the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RMB amounts into U.S. dollars (“USD”) at specified rates solely for the convenience of the reader. Unless otherwise stated, all translations from RMB to USD were made at the rate of RMB6.7851 to US$1.00, the exchange rate set forth in the H.10 statistical release of the Board of Governors of the Federal Reserve System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pursuant to the “safe harbor” provisions of the U.S. Private Securities Litigation Reform Act of 1995.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 some cases, these forward-looking statements can be identified by terminology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BingEx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ir@ishansong.com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Helen Wu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+86-10-6508-0677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FlashEx@thepiacentegroup.com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Brandi Piacente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+1-212-481-2050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FlashEx@thepiacentegroup.com</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BINGEX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83"/>
        <w:gridCol w:w="60"/>
        <w:gridCol w:w="76"/>
        <w:gridCol w:w="1270"/>
        <w:gridCol w:w="60"/>
        <w:gridCol w:w="60"/>
        <w:gridCol w:w="60"/>
        <w:gridCol w:w="980"/>
        <w:gridCol w:w="60"/>
        <w:gridCol w:w="60"/>
        <w:gridCol w:w="60"/>
        <w:gridCol w:w="800"/>
        <w:gridCol w:w="76"/>
      </w:tblGrid>
      <w:tr>
        <w:trPr/>
        <w:tc>
          <w:tcPr>
            <w:tcW w:w="6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76" w:type="dxa"/>
            <w:tcBorders/>
            <w:vAlign w:val="center"/>
          </w:tcPr>
          <w:p>
            <w:pPr>
              <w:pStyle w:val="TableContents"/>
              <w:bidi w:val="0"/>
              <w:spacing w:before="0" w:after="283"/>
              <w:jc w:val="left"/>
              <w:rPr/>
            </w:pPr>
            <w:r>
              <w:rPr/>
              <w:t> </w:t>
            </w:r>
          </w:p>
        </w:tc>
      </w:tr>
      <w:tr>
        <w:trPr/>
        <w:tc>
          <w:tcPr>
            <w:tcW w:w="6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6" w:type="dxa"/>
            <w:tcBorders/>
            <w:vAlign w:val="center"/>
          </w:tcPr>
          <w:p>
            <w:pPr>
              <w:pStyle w:val="TableContents"/>
              <w:bidi w:val="0"/>
              <w:spacing w:before="0" w:after="283"/>
              <w:jc w:val="left"/>
              <w:rPr/>
            </w:pPr>
            <w:r>
              <w:rPr/>
              <w:t> </w:t>
            </w:r>
          </w:p>
        </w:tc>
      </w:tr>
      <w:tr>
        <w:trPr/>
        <w:tc>
          <w:tcPr>
            <w:tcW w:w="6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76" w:type="dxa"/>
            <w:tcBorders/>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84,660</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76" w:type="dxa"/>
            <w:tcBorders/>
            <w:shd w:fill="FFFFFF" w:val="clear"/>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investments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41,095</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3,981</w:t>
            </w:r>
          </w:p>
        </w:tc>
        <w:tc>
          <w:tcPr>
            <w:tcW w:w="76" w:type="dxa"/>
            <w:tcBorders/>
            <w:shd w:fill="FFFFFF" w:val="clear"/>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and other current assets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5,344</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1,033,962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916,665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135,099</w:t>
            </w:r>
          </w:p>
        </w:tc>
        <w:tc>
          <w:tcPr>
            <w:tcW w:w="76" w:type="dxa"/>
            <w:tcBorders/>
            <w:shd w:fill="FFFFFF" w:val="clear"/>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assets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investments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27,360</w:t>
            </w:r>
          </w:p>
        </w:tc>
        <w:tc>
          <w:tcPr>
            <w:tcW w:w="76" w:type="dxa"/>
            <w:tcBorders/>
            <w:shd w:fill="FFFFFF" w:val="clear"/>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3,191</w:t>
            </w:r>
          </w:p>
        </w:tc>
        <w:tc>
          <w:tcPr>
            <w:tcW w:w="76" w:type="dxa"/>
            <w:tcBorders/>
            <w:shd w:fill="FFFFFF" w:val="clear"/>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assets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254,494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211,884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31,228</w:t>
            </w:r>
          </w:p>
        </w:tc>
        <w:tc>
          <w:tcPr>
            <w:tcW w:w="76" w:type="dxa"/>
            <w:tcBorders/>
            <w:shd w:fill="FFFFFF" w:val="clear"/>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1,288,456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1,128,549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166,327</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29,009</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60,541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8,339</w:t>
            </w:r>
          </w:p>
        </w:tc>
        <w:tc>
          <w:tcPr>
            <w:tcW w:w="76" w:type="dxa"/>
            <w:tcBorders/>
            <w:shd w:fill="FFFFFF" w:val="clear"/>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1,503</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17,244</w:t>
            </w:r>
          </w:p>
        </w:tc>
        <w:tc>
          <w:tcPr>
            <w:tcW w:w="76" w:type="dxa"/>
            <w:tcBorders/>
            <w:shd w:fill="FFFFFF" w:val="clear"/>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440,150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380,615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56,095</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liabilities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1,323</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1,323</w:t>
            </w:r>
          </w:p>
        </w:tc>
        <w:tc>
          <w:tcPr>
            <w:tcW w:w="76" w:type="dxa"/>
            <w:tcBorders/>
            <w:shd w:fill="FFFFFF" w:val="clear"/>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453,029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389,589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57,418</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Redeemable noncontrolling interest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w:t>
            </w:r>
          </w:p>
        </w:tc>
        <w:tc>
          <w:tcPr>
            <w:tcW w:w="76" w:type="dxa"/>
            <w:tcBorders/>
            <w:shd w:fill="FFFFFF" w:val="clear"/>
            <w:vAlign w:val="center"/>
          </w:tcPr>
          <w:p>
            <w:pPr>
              <w:pStyle w:val="TableContents"/>
              <w:bidi w:val="0"/>
              <w:spacing w:before="0" w:after="283"/>
              <w:jc w:val="left"/>
              <w:rPr/>
            </w:pPr>
            <w:r>
              <w:rPr/>
              <w:t> </w:t>
            </w:r>
          </w:p>
        </w:tc>
      </w:tr>
      <w:tr>
        <w:trPr/>
        <w:tc>
          <w:tcPr>
            <w:tcW w:w="658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Shareholders’ equity</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835,427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733,895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108,163</w:t>
            </w:r>
          </w:p>
        </w:tc>
        <w:tc>
          <w:tcPr>
            <w:tcW w:w="76" w:type="dxa"/>
            <w:tcBorders/>
            <w:shd w:fill="CCEEFF" w:val="clear"/>
            <w:vAlign w:val="center"/>
          </w:tcPr>
          <w:p>
            <w:pPr>
              <w:pStyle w:val="TableContents"/>
              <w:bidi w:val="0"/>
              <w:spacing w:before="0" w:after="283"/>
              <w:jc w:val="left"/>
              <w:rPr/>
            </w:pPr>
            <w:r>
              <w:rPr/>
              <w:t> </w:t>
            </w:r>
          </w:p>
        </w:tc>
      </w:tr>
      <w:tr>
        <w:trPr/>
        <w:tc>
          <w:tcPr>
            <w:tcW w:w="658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redeemable noncontrolling interest and shareholders’ equity</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1,288,456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1,128,549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166,327</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BINGEX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except for number of shares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0"/>
        <w:gridCol w:w="60"/>
        <w:gridCol w:w="60"/>
        <w:gridCol w:w="1055"/>
        <w:gridCol w:w="80"/>
        <w:gridCol w:w="60"/>
        <w:gridCol w:w="60"/>
        <w:gridCol w:w="1055"/>
        <w:gridCol w:w="80"/>
        <w:gridCol w:w="60"/>
        <w:gridCol w:w="60"/>
        <w:gridCol w:w="1055"/>
        <w:gridCol w:w="80"/>
        <w:gridCol w:w="60"/>
        <w:gridCol w:w="60"/>
        <w:gridCol w:w="1055"/>
        <w:gridCol w:w="80"/>
        <w:gridCol w:w="60"/>
        <w:gridCol w:w="60"/>
        <w:gridCol w:w="1055"/>
        <w:gridCol w:w="80"/>
        <w:gridCol w:w="60"/>
        <w:gridCol w:w="60"/>
        <w:gridCol w:w="1055"/>
        <w:gridCol w:w="95"/>
      </w:tblGrid>
      <w:tr>
        <w:trPr/>
        <w:tc>
          <w:tcPr>
            <w:tcW w:w="26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1,024,558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940,258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138,577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1,985,320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1,875,553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276,422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(901,866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(844,723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(1,735,954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(1,674,186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(246,744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122,692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95,535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249,366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201,367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(103,380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(88,281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(220,093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(183,120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(26,989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19,312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fair value of 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53,495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(33,830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(4,986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(76,407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(11,262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6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53,495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(33,971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(76,571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(11,286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attributable to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53,495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(34,036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(5,017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(76,636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(11,296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per ordinary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shares outstanding used in computing net earnings (loss) per ordinary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208,488,138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201,353,244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201,353,244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208,454,128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201,803,741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201,803,741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209,438,670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201,353,244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201,353,244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209,979,209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201,803,741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201,803,741</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BINGEX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RECONCILIATIONS OF GAAP AND NON-GAAP RESULTS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except for number of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78"/>
        <w:gridCol w:w="60"/>
        <w:gridCol w:w="60"/>
        <w:gridCol w:w="761"/>
        <w:gridCol w:w="262"/>
        <w:gridCol w:w="60"/>
        <w:gridCol w:w="60"/>
        <w:gridCol w:w="761"/>
        <w:gridCol w:w="262"/>
        <w:gridCol w:w="60"/>
        <w:gridCol w:w="60"/>
        <w:gridCol w:w="640"/>
        <w:gridCol w:w="95"/>
        <w:gridCol w:w="60"/>
        <w:gridCol w:w="60"/>
        <w:gridCol w:w="680"/>
        <w:gridCol w:w="260"/>
        <w:gridCol w:w="60"/>
        <w:gridCol w:w="60"/>
        <w:gridCol w:w="755"/>
        <w:gridCol w:w="260"/>
        <w:gridCol w:w="60"/>
        <w:gridCol w:w="60"/>
        <w:gridCol w:w="755"/>
        <w:gridCol w:w="116"/>
      </w:tblGrid>
      <w:tr>
        <w:trPr/>
        <w:tc>
          <w:tcPr>
            <w:tcW w:w="38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8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16" w:type="dxa"/>
            <w:tcBorders/>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6" w:type="dxa"/>
            <w:tcBorders/>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w:t>
            </w:r>
          </w:p>
        </w:tc>
        <w:tc>
          <w:tcPr>
            <w:tcW w:w="116" w:type="dxa"/>
            <w:tcBorders/>
            <w:vAlign w:val="center"/>
          </w:tcPr>
          <w:p>
            <w:pPr>
              <w:pStyle w:val="TableContents"/>
              <w:bidi w:val="0"/>
              <w:spacing w:before="0" w:after="283"/>
              <w:jc w:val="left"/>
              <w:rPr/>
            </w:pPr>
            <w:r>
              <w:rPr/>
              <w:t> </w:t>
            </w:r>
          </w:p>
        </w:tc>
      </w:tr>
      <w:tr>
        <w:trPr/>
        <w:tc>
          <w:tcPr>
            <w:tcW w:w="38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1" w:type="dxa"/>
            <w:gridSpan w:val="2"/>
            <w:tcBorders/>
            <w:vAlign w:val="center"/>
          </w:tcPr>
          <w:p>
            <w:pPr>
              <w:pStyle w:val="TableContents"/>
              <w:bidi w:val="0"/>
              <w:spacing w:before="0" w:after="283"/>
              <w:jc w:val="center"/>
              <w:rPr/>
            </w:pPr>
            <w:r>
              <w:rPr/>
              <w:t> </w:t>
            </w:r>
          </w:p>
        </w:tc>
        <w:tc>
          <w:tcPr>
            <w:tcW w:w="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gridSpan w:val="2"/>
            <w:tcBorders/>
            <w:vAlign w:val="center"/>
          </w:tcPr>
          <w:p>
            <w:pPr>
              <w:pStyle w:val="TableContents"/>
              <w:bidi w:val="0"/>
              <w:spacing w:before="0" w:after="283"/>
              <w:jc w:val="center"/>
              <w:rPr/>
            </w:pPr>
            <w:r>
              <w:rPr/>
              <w:t> </w:t>
            </w:r>
          </w:p>
        </w:tc>
        <w:tc>
          <w:tcPr>
            <w:tcW w:w="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19,312</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7,254</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29,273</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18,247</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2,689</w:t>
            </w:r>
          </w:p>
        </w:tc>
        <w:tc>
          <w:tcPr>
            <w:tcW w:w="116" w:type="dxa"/>
            <w:tcBorders/>
            <w:shd w:fill="CCEEFF" w:val="clear"/>
            <w:vAlign w:val="center"/>
          </w:tcPr>
          <w:p>
            <w:pPr>
              <w:pStyle w:val="TableContents"/>
              <w:bidi w:val="0"/>
              <w:spacing w:before="0" w:after="283"/>
              <w:jc w:val="left"/>
              <w:rPr/>
            </w:pPr>
            <w:r>
              <w:rPr/>
              <w:t> </w:t>
            </w:r>
          </w:p>
        </w:tc>
      </w:tr>
      <w:tr>
        <w:trPr/>
        <w:tc>
          <w:tcPr>
            <w:tcW w:w="38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 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12,630</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3,591</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29,278</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14,237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2,098</w:t>
            </w:r>
          </w:p>
        </w:tc>
        <w:tc>
          <w:tcPr>
            <w:tcW w:w="116" w:type="dxa"/>
            <w:tcBorders/>
            <w:shd w:fill="FFFFFF" w:val="clear"/>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Non-GAAP income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31,942</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10,845</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58,551</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32,484</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4,787</w:t>
            </w:r>
          </w:p>
        </w:tc>
        <w:tc>
          <w:tcPr>
            <w:tcW w:w="116" w:type="dxa"/>
            <w:tcBorders/>
            <w:shd w:fill="CCEEFF" w:val="clear"/>
            <w:vAlign w:val="center"/>
          </w:tcPr>
          <w:p>
            <w:pPr>
              <w:pStyle w:val="TableContents"/>
              <w:bidi w:val="0"/>
              <w:spacing w:before="0" w:after="283"/>
              <w:jc w:val="left"/>
              <w:rPr/>
            </w:pPr>
            <w:r>
              <w:rPr/>
              <w:t> </w:t>
            </w:r>
          </w:p>
        </w:tc>
      </w:tr>
      <w:tr>
        <w:trPr/>
        <w:tc>
          <w:tcPr>
            <w:tcW w:w="387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w:t>
            </w:r>
          </w:p>
        </w:tc>
        <w:tc>
          <w:tcPr>
            <w:tcW w:w="26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0.8</w:t>
            </w:r>
          </w:p>
        </w:tc>
        <w:tc>
          <w:tcPr>
            <w:tcW w:w="26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w:t>
            </w:r>
          </w:p>
        </w:tc>
        <w:tc>
          <w:tcPr>
            <w:tcW w:w="2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w:t>
            </w:r>
          </w:p>
        </w:tc>
        <w:tc>
          <w:tcPr>
            <w:tcW w:w="2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 Share-based compensation expenses as a percentage of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2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2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87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Non-GAAP operating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w:t>
            </w:r>
          </w:p>
        </w:tc>
        <w:tc>
          <w:tcPr>
            <w:tcW w:w="26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w:t>
            </w:r>
          </w:p>
        </w:tc>
        <w:tc>
          <w:tcPr>
            <w:tcW w:w="26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w:t>
            </w:r>
          </w:p>
        </w:tc>
        <w:tc>
          <w:tcPr>
            <w:tcW w:w="2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w:t>
            </w:r>
          </w:p>
        </w:tc>
        <w:tc>
          <w:tcPr>
            <w:tcW w:w="2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87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53,495</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(33,971</w:t>
            </w:r>
          </w:p>
        </w:tc>
        <w:tc>
          <w:tcPr>
            <w:tcW w:w="26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(5,007</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43,226</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(76,571</w:t>
            </w:r>
          </w:p>
        </w:tc>
        <w:tc>
          <w:tcPr>
            <w:tcW w:w="2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(11,286</w:t>
            </w:r>
          </w:p>
        </w:tc>
        <w:tc>
          <w:tcPr>
            <w:tcW w:w="11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38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 Changes in fair value of long-term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(20,539</w:t>
            </w:r>
          </w:p>
        </w:tc>
        <w:tc>
          <w:tcPr>
            <w:tcW w:w="2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41,744</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22,719</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62,557</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9,220</w:t>
            </w:r>
          </w:p>
        </w:tc>
        <w:tc>
          <w:tcPr>
            <w:tcW w:w="116" w:type="dxa"/>
            <w:tcBorders/>
            <w:shd w:fill="CCEEFF" w:val="clear"/>
            <w:vAlign w:val="center"/>
          </w:tcPr>
          <w:p>
            <w:pPr>
              <w:pStyle w:val="TableContents"/>
              <w:bidi w:val="0"/>
              <w:spacing w:before="0" w:after="283"/>
              <w:jc w:val="left"/>
              <w:rPr/>
            </w:pPr>
            <w:r>
              <w:rPr/>
              <w:t> </w:t>
            </w:r>
          </w:p>
        </w:tc>
      </w:tr>
      <w:tr>
        <w:trPr/>
        <w:tc>
          <w:tcPr>
            <w:tcW w:w="38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 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12,630</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3,591</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29,278</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14,237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2,098</w:t>
            </w:r>
          </w:p>
        </w:tc>
        <w:tc>
          <w:tcPr>
            <w:tcW w:w="116" w:type="dxa"/>
            <w:tcBorders/>
            <w:shd w:fill="FFFFFF" w:val="clear"/>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Non-GAAP 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45,586</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11,364</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95,223</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223</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w:t>
            </w:r>
          </w:p>
        </w:tc>
        <w:tc>
          <w:tcPr>
            <w:tcW w:w="116" w:type="dxa"/>
            <w:tcBorders/>
            <w:shd w:fill="CCEEFF" w:val="clear"/>
            <w:vAlign w:val="center"/>
          </w:tcPr>
          <w:p>
            <w:pPr>
              <w:pStyle w:val="TableContents"/>
              <w:bidi w:val="0"/>
              <w:spacing w:before="0" w:after="283"/>
              <w:jc w:val="left"/>
              <w:rPr/>
            </w:pPr>
            <w:r>
              <w:rPr/>
              <w:t> </w:t>
            </w:r>
          </w:p>
        </w:tc>
      </w:tr>
      <w:tr>
        <w:trPr/>
        <w:tc>
          <w:tcPr>
            <w:tcW w:w="387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w:t>
            </w:r>
          </w:p>
        </w:tc>
        <w:tc>
          <w:tcPr>
            <w:tcW w:w="26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w:t>
            </w:r>
          </w:p>
        </w:tc>
        <w:tc>
          <w:tcPr>
            <w:tcW w:w="26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w:t>
            </w:r>
          </w:p>
        </w:tc>
        <w:tc>
          <w:tcPr>
            <w:tcW w:w="2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w:t>
            </w:r>
          </w:p>
        </w:tc>
        <w:tc>
          <w:tcPr>
            <w:tcW w:w="2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 Changes in fair value of long-term investments as a percentage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2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2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8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 Share-based compensation expenses as a percentage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26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26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Non-GAAP net income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w:t>
            </w:r>
          </w:p>
        </w:tc>
        <w:tc>
          <w:tcPr>
            <w:tcW w:w="26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w:t>
            </w:r>
          </w:p>
        </w:tc>
        <w:tc>
          <w:tcPr>
            <w:tcW w:w="26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4.8</w:t>
            </w:r>
          </w:p>
        </w:tc>
        <w:tc>
          <w:tcPr>
            <w:tcW w:w="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0.0</w:t>
            </w:r>
          </w:p>
        </w:tc>
        <w:tc>
          <w:tcPr>
            <w:tcW w:w="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8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53,495</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(34,036</w:t>
            </w:r>
          </w:p>
        </w:tc>
        <w:tc>
          <w:tcPr>
            <w:tcW w:w="26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(5,017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43,226</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(76,636</w:t>
            </w:r>
          </w:p>
        </w:tc>
        <w:tc>
          <w:tcPr>
            <w:tcW w:w="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(11,296</w:t>
            </w:r>
          </w:p>
        </w:tc>
        <w:tc>
          <w:tcPr>
            <w:tcW w:w="11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38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 Changes in fair value of long-term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(20,539</w:t>
            </w:r>
          </w:p>
        </w:tc>
        <w:tc>
          <w:tcPr>
            <w:tcW w:w="26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41,744</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22,719</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62,557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9,220</w:t>
            </w:r>
          </w:p>
        </w:tc>
        <w:tc>
          <w:tcPr>
            <w:tcW w:w="116" w:type="dxa"/>
            <w:tcBorders/>
            <w:shd w:fill="FFFFFF" w:val="clear"/>
            <w:vAlign w:val="center"/>
          </w:tcPr>
          <w:p>
            <w:pPr>
              <w:pStyle w:val="TableContents"/>
              <w:bidi w:val="0"/>
              <w:spacing w:before="0" w:after="283"/>
              <w:jc w:val="left"/>
              <w:rPr/>
            </w:pPr>
            <w:r>
              <w:rPr/>
              <w:t> </w:t>
            </w:r>
          </w:p>
        </w:tc>
      </w:tr>
      <w:tr>
        <w:trPr/>
        <w:tc>
          <w:tcPr>
            <w:tcW w:w="38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 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12,630</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3,591</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29,278</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14,237</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2,098</w:t>
            </w:r>
          </w:p>
        </w:tc>
        <w:tc>
          <w:tcPr>
            <w:tcW w:w="116" w:type="dxa"/>
            <w:tcBorders/>
            <w:shd w:fill="CCEEFF" w:val="clear"/>
            <w:vAlign w:val="center"/>
          </w:tcPr>
          <w:p>
            <w:pPr>
              <w:pStyle w:val="TableContents"/>
              <w:bidi w:val="0"/>
              <w:spacing w:before="0" w:after="283"/>
              <w:jc w:val="left"/>
              <w:rPr/>
            </w:pPr>
            <w:r>
              <w:rPr/>
              <w:t> </w:t>
            </w:r>
          </w:p>
        </w:tc>
      </w:tr>
      <w:tr>
        <w:trPr/>
        <w:tc>
          <w:tcPr>
            <w:tcW w:w="387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Non-GAAP net income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45,586</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11,299</w:t>
            </w:r>
          </w:p>
        </w:tc>
        <w:tc>
          <w:tcPr>
            <w:tcW w:w="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95,223</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158</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2724</Words>
  <Characters>15558</Characters>
  <CharactersWithSpaces>18956</CharactersWithSpaces>
  <Paragraphs>1905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