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354330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5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132715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85"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0"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For the month of May 2026</w:t>
      </w:r>
    </w:p>
    <w:p>
      <w:pPr>
        <w:spacing w:after="0" w:line="225" w:lineRule="exact"/>
        <w:rPr>
          <w:sz w:val="24"/>
          <w:szCs w:val="24"/>
          <w:color w:val="auto"/>
        </w:rPr>
      </w:pPr>
    </w:p>
    <w:p>
      <w:pPr>
        <w:ind w:left="4200"/>
        <w:spacing w:after="0"/>
        <w:rPr>
          <w:sz w:val="20"/>
          <w:szCs w:val="20"/>
          <w:color w:val="auto"/>
        </w:rPr>
      </w:pPr>
      <w:r>
        <w:rPr>
          <w:rFonts w:ascii="Times New Roman" w:cs="Times New Roman" w:eastAsia="Times New Roman" w:hAnsi="Times New Roman"/>
          <w:sz w:val="18"/>
          <w:szCs w:val="18"/>
          <w:b w:val="1"/>
          <w:bCs w:val="1"/>
          <w:color w:val="auto"/>
        </w:rPr>
        <w:t>Commission File Number: 001-42291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32"/>
          <w:szCs w:val="32"/>
          <w:b w:val="1"/>
          <w:bCs w:val="1"/>
          <w:color w:val="auto"/>
        </w:rPr>
        <w:t>BingEx Limited</w:t>
      </w:r>
    </w:p>
    <w:p>
      <w:pPr>
        <w:spacing w:after="0" w:line="45"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color w:val="auto"/>
        </w:rPr>
        <w:t>(Registrant’s Name)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24"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Building 6, Zhongguancun Dongsheng International Science Park</w:t>
      </w:r>
    </w:p>
    <w:p>
      <w:pPr>
        <w:spacing w:after="0" w:line="31"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No. 1 Yongtaizhuang North Road</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Haidian District, Beijing 100192</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People’s Republic of China</w:t>
      </w:r>
    </w:p>
    <w:p>
      <w:pPr>
        <w:spacing w:after="0" w:line="9" w:lineRule="exact"/>
        <w:rPr>
          <w:sz w:val="24"/>
          <w:szCs w:val="24"/>
          <w:color w:val="auto"/>
        </w:rPr>
      </w:pPr>
    </w:p>
    <w:p>
      <w:pPr>
        <w:jc w:val="center"/>
        <w:ind w:right="-1100"/>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20-F or Form 40-F.</w:t>
      </w:r>
    </w:p>
    <w:p>
      <w:pPr>
        <w:spacing w:after="0" w:line="211" w:lineRule="exact"/>
        <w:rPr>
          <w:sz w:val="24"/>
          <w:szCs w:val="24"/>
          <w:color w:val="auto"/>
        </w:rPr>
      </w:pPr>
    </w:p>
    <w:p>
      <w:pPr>
        <w:ind w:left="4500"/>
        <w:spacing w:after="0" w:line="207" w:lineRule="exact"/>
        <w:tabs>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Form 40-F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4318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540385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740"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40" w:type="dxa"/>
            <w:vAlign w:val="bottom"/>
            <w:gridSpan w:val="2"/>
          </w:tcPr>
          <w:p>
            <w:pPr>
              <w:ind w:left="38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32"/>
        </w:trPr>
        <w:tc>
          <w:tcPr>
            <w:tcW w:w="9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Exhibit No.</w:t>
            </w:r>
          </w:p>
        </w:tc>
        <w:tc>
          <w:tcPr>
            <w:tcW w:w="120" w:type="dxa"/>
            <w:vAlign w:val="bottom"/>
          </w:tcPr>
          <w:p>
            <w:pPr>
              <w:spacing w:after="0"/>
              <w:rPr>
                <w:sz w:val="24"/>
                <w:szCs w:val="24"/>
                <w:color w:val="auto"/>
              </w:rPr>
            </w:pPr>
          </w:p>
        </w:tc>
        <w:tc>
          <w:tcPr>
            <w:tcW w:w="10140" w:type="dxa"/>
            <w:vAlign w:val="bottom"/>
            <w:tcBorders>
              <w:bottom w:val="single" w:sz="8" w:color="auto"/>
            </w:tcBorders>
            <w:gridSpan w:val="2"/>
          </w:tcPr>
          <w:p>
            <w:pPr>
              <w:ind w:left="46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69"/>
        </w:trPr>
        <w:tc>
          <w:tcPr>
            <w:tcW w:w="980" w:type="dxa"/>
            <w:vAlign w:val="bottom"/>
          </w:tcPr>
          <w:p>
            <w:pPr>
              <w:jc w:val="right"/>
              <w:ind w:right="230"/>
              <w:spacing w:after="0" w:line="169"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Pr>
          <w:p>
            <w:pPr>
              <w:spacing w:after="0"/>
              <w:rPr>
                <w:sz w:val="14"/>
                <w:szCs w:val="14"/>
                <w:color w:val="auto"/>
              </w:rPr>
            </w:pPr>
          </w:p>
        </w:tc>
        <w:tc>
          <w:tcPr>
            <w:tcW w:w="1014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color w:val="0000EE"/>
              </w:rPr>
              <w:t>Press Release—BingEx Limited Announces First Quarter 2026 Financial Results</w:t>
            </w:r>
          </w:p>
        </w:tc>
      </w:tr>
      <w:tr>
        <w:trPr>
          <w:trHeight w:val="453"/>
        </w:trPr>
        <w:tc>
          <w:tcPr>
            <w:tcW w:w="9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5840" w:type="dxa"/>
            <w:vAlign w:val="bottom"/>
            <w:tcBorders>
              <w:top w:val="single" w:sz="8" w:color="0000EE"/>
              <w:bottom w:val="single" w:sz="8" w:color="auto"/>
            </w:tcBorders>
          </w:tcPr>
          <w:p>
            <w:pPr>
              <w:spacing w:after="0"/>
              <w:rPr>
                <w:sz w:val="24"/>
                <w:szCs w:val="24"/>
                <w:color w:val="auto"/>
              </w:rPr>
            </w:pPr>
          </w:p>
        </w:tc>
        <w:tc>
          <w:tcPr>
            <w:tcW w:w="43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227" w:lineRule="exact"/>
        <w:rPr>
          <w:sz w:val="20"/>
          <w:szCs w:val="20"/>
          <w:color w:val="auto"/>
        </w:rPr>
      </w:pPr>
    </w:p>
    <w:p>
      <w:pPr>
        <w:ind w:left="5640"/>
        <w:spacing w:after="0"/>
        <w:tabs>
          <w:tab w:leader="none" w:pos="6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Le Tang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Name: Le Tang</w:t>
      </w:r>
    </w:p>
    <w:p>
      <w:pPr>
        <w:spacing w:after="0" w:line="9"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Title : Chief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21,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BingEx Limited Announces First Quarter 2026 Financial Results</w:t>
      </w:r>
    </w:p>
    <w:p>
      <w:pPr>
        <w:spacing w:after="0" w:line="225"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Beijing, China, May 21, 2026 </w:t>
      </w:r>
      <w:r>
        <w:rPr>
          <w:rFonts w:ascii="Times New Roman" w:cs="Times New Roman" w:eastAsia="Times New Roman" w:hAnsi="Times New Roman"/>
          <w:sz w:val="18"/>
          <w:szCs w:val="18"/>
          <w:color w:val="auto"/>
        </w:rPr>
        <w:t>– BingEx Limited (the “Company”) (Nasdaq: FLX), a leading on-demand dedicated courier service provider in China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(branded as “FlashEx”), today announced its unaudited financial results for the first quarter ended March 31,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Highlights:</w:t>
      </w:r>
    </w:p>
    <w:p>
      <w:pPr>
        <w:spacing w:after="0" w:line="225" w:lineRule="exact"/>
        <w:rPr>
          <w:sz w:val="20"/>
          <w:szCs w:val="20"/>
          <w:color w:val="auto"/>
        </w:rPr>
      </w:pPr>
    </w:p>
    <w:p>
      <w:pPr>
        <w:ind w:left="980" w:hanging="324"/>
        <w:spacing w:after="0" w:line="28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RMB935.3 million (US$135.6 million) in the first quarter of 2026, compared with RMB960.8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w:t>
      </w:r>
    </w:p>
    <w:p>
      <w:pPr>
        <w:spacing w:after="0" w:line="154" w:lineRule="exact"/>
        <w:rPr>
          <w:rFonts w:ascii="Times New Roman" w:cs="Times New Roman" w:eastAsia="Times New Roman" w:hAnsi="Times New Roman"/>
          <w:sz w:val="18"/>
          <w:szCs w:val="18"/>
          <w:color w:val="auto"/>
        </w:rPr>
      </w:pPr>
    </w:p>
    <w:p>
      <w:pPr>
        <w:ind w:left="980" w:right="20" w:hanging="324"/>
        <w:spacing w:after="0" w:line="28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RMB105.8 million (US$15.3 million) in the first quarter of 2026, compared with RMB126.7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w:t>
      </w:r>
    </w:p>
    <w:p>
      <w:pPr>
        <w:spacing w:after="0" w:line="154" w:lineRule="exact"/>
        <w:rPr>
          <w:rFonts w:ascii="Times New Roman" w:cs="Times New Roman" w:eastAsia="Times New Roman" w:hAnsi="Times New Roman"/>
          <w:sz w:val="18"/>
          <w:szCs w:val="18"/>
          <w:color w:val="auto"/>
        </w:rPr>
      </w:pPr>
    </w:p>
    <w:p>
      <w:pPr>
        <w:ind w:left="980" w:hanging="324"/>
        <w:spacing w:after="0" w:line="286" w:lineRule="auto"/>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RMB11.0 million (US$1.6 million) in the first quarter of 2026, compared with RMB10.0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2025.</w:t>
      </w:r>
    </w:p>
    <w:p>
      <w:pPr>
        <w:spacing w:after="0" w:line="158" w:lineRule="exact"/>
        <w:rPr>
          <w:rFonts w:ascii="Times New Roman" w:cs="Times New Roman" w:eastAsia="Times New Roman" w:hAnsi="Times New Roman"/>
          <w:sz w:val="18"/>
          <w:szCs w:val="18"/>
          <w:color w:val="auto"/>
        </w:rPr>
      </w:pPr>
    </w:p>
    <w:p>
      <w:pPr>
        <w:ind w:left="980" w:hanging="324"/>
        <w:spacing w:after="0" w:line="189" w:lineRule="auto"/>
        <w:tabs>
          <w:tab w:leader="none" w:pos="98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income from operations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RMB21.6 million (US$3.1 million) in the first quarter of 2026, compared with RMB26.6 million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the same period of 2025.</w:t>
      </w:r>
    </w:p>
    <w:p>
      <w:pPr>
        <w:spacing w:after="0" w:line="195" w:lineRule="exact"/>
        <w:rPr>
          <w:rFonts w:ascii="Times New Roman" w:cs="Times New Roman" w:eastAsia="Times New Roman" w:hAnsi="Times New Roman"/>
          <w:sz w:val="36"/>
          <w:szCs w:val="36"/>
          <w:color w:val="auto"/>
          <w:vertAlign w:val="superscript"/>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RMB42.6 million (US$6.2 million) in the first quarter of 2026, compared with RMB10.3 million in the same period of 2025.</w:t>
      </w:r>
    </w:p>
    <w:p>
      <w:pPr>
        <w:spacing w:after="0" w:line="228" w:lineRule="exact"/>
        <w:rPr>
          <w:rFonts w:ascii="Times New Roman" w:cs="Times New Roman" w:eastAsia="Times New Roman" w:hAnsi="Times New Roman"/>
          <w:sz w:val="18"/>
          <w:szCs w:val="18"/>
          <w:color w:val="auto"/>
        </w:rPr>
      </w:pPr>
    </w:p>
    <w:p>
      <w:pPr>
        <w:ind w:left="980" w:hanging="324"/>
        <w:spacing w:after="0" w:line="189" w:lineRule="auto"/>
        <w:tabs>
          <w:tab w:leader="none" w:pos="980" w:val="left"/>
        </w:tabs>
        <w:numPr>
          <w:ilvl w:val="0"/>
          <w:numId w:val="1"/>
        </w:numPr>
        <w:rPr>
          <w:rFonts w:ascii="Times New Roman" w:cs="Times New Roman" w:eastAsia="Times New Roman" w:hAnsi="Times New Roman"/>
          <w:sz w:val="36"/>
          <w:szCs w:val="36"/>
          <w:color w:val="auto"/>
          <w:vertAlign w:val="superscript"/>
        </w:rPr>
      </w:pPr>
      <w:r>
        <w:rPr>
          <w:rFonts w:ascii="Times New Roman" w:cs="Times New Roman" w:eastAsia="Times New Roman" w:hAnsi="Times New Roman"/>
          <w:sz w:val="18"/>
          <w:szCs w:val="18"/>
          <w:b w:val="1"/>
          <w:bCs w:val="1"/>
          <w:color w:val="auto"/>
        </w:rPr>
        <w:t>Non-GAAP net loss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RMB11.1 million (US$1.6 million) in the first quarter of 2026, compared with non-GAAP net income of RMB49.6</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period of 2025.</w:t>
      </w:r>
    </w:p>
    <w:p>
      <w:pPr>
        <w:spacing w:after="0" w:line="195" w:lineRule="exact"/>
        <w:rPr>
          <w:rFonts w:ascii="Times New Roman" w:cs="Times New Roman" w:eastAsia="Times New Roman" w:hAnsi="Times New Roman"/>
          <w:sz w:val="36"/>
          <w:szCs w:val="36"/>
          <w:color w:val="auto"/>
          <w:vertAlign w:val="superscript"/>
        </w:rPr>
      </w:pPr>
    </w:p>
    <w:p>
      <w:pPr>
        <w:ind w:left="980" w:hanging="324"/>
        <w:spacing w:after="0"/>
        <w:tabs>
          <w:tab w:leader="none" w:pos="98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The number of orders fulfilled </w:t>
      </w:r>
      <w:r>
        <w:rPr>
          <w:rFonts w:ascii="Times New Roman" w:cs="Times New Roman" w:eastAsia="Times New Roman" w:hAnsi="Times New Roman"/>
          <w:sz w:val="18"/>
          <w:szCs w:val="18"/>
          <w:color w:val="auto"/>
        </w:rPr>
        <w:t>was 57.9 million in the first quarter of 2026.</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b w:val="1"/>
          <w:bCs w:val="1"/>
          <w:color w:val="auto"/>
        </w:rPr>
        <w:t xml:space="preserve">Mr. Adam Xue, Founder, Chairman, and Chief Executive Officer of FlashEx, commented, </w:t>
      </w:r>
      <w:r>
        <w:rPr>
          <w:rFonts w:ascii="Times New Roman" w:cs="Times New Roman" w:eastAsia="Times New Roman" w:hAnsi="Times New Roman"/>
          <w:sz w:val="18"/>
          <w:szCs w:val="18"/>
          <w:color w:val="auto"/>
        </w:rPr>
        <w:t>“In the first quarter of 2026, FlashEx delivered resilient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performance amid an evolving market, while making meaningful progress in operational excellence and technological innovation. We further improved service efficiency, refined our merchant and user mix, and deepened penetration in lifestyle scenarios. On the technology front, we became the first in China’s on-demand delivery industry to open-source our core CLI tool, embedding delivery capabilities into AI workflows, while internally AI has become a systemic enabler across customer service, operations, and R&amp;D. We also advanced our low-altitude logistics initiative, securing a strategic investment to support the scaled deployment of drone delivery. Looking ahead, by combining disciplined execution with deeper AI adoption, FlashEx is well positioned to capture new growth opportunities and deliver sustainable long-term value for all stakeholders.”</w:t>
      </w:r>
    </w:p>
    <w:p>
      <w:pPr>
        <w:spacing w:after="0" w:line="183"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Mr. Luke Tang, Chief Financial Officer of FlashEx, said, </w:t>
      </w:r>
      <w:r>
        <w:rPr>
          <w:rFonts w:ascii="Times New Roman" w:cs="Times New Roman" w:eastAsia="Times New Roman" w:hAnsi="Times New Roman"/>
          <w:sz w:val="18"/>
          <w:szCs w:val="18"/>
          <w:color w:val="auto"/>
        </w:rPr>
        <w:t>“In the first quarter of 2026, we made meaningful progress in deploying AI at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organizational level. The broader adoption of AI across our organization has also contributed to a reduction in operating expenses during the quarter. We remain committed to disciplined execution as AI becomes an increasingly powerful lever for margin improvement and long-term growth.”</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First Quarter 2026 Financial Results</w:t>
      </w:r>
    </w:p>
    <w:p>
      <w:pPr>
        <w:spacing w:after="0" w:line="2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were RMB935.3 million (US$135.6 million) in the first quarter of 2026, compared with RMB960.8 million in the same period of 2025.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decrease was primarily driven by intensifying market competition.</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Cost of revenues </w:t>
      </w:r>
      <w:r>
        <w:rPr>
          <w:rFonts w:ascii="Times New Roman" w:cs="Times New Roman" w:eastAsia="Times New Roman" w:hAnsi="Times New Roman"/>
          <w:sz w:val="18"/>
          <w:szCs w:val="18"/>
          <w:color w:val="auto"/>
        </w:rPr>
        <w:t>was RMB829.5 million (US$120.2 million), compared with RMB834.1 million in the same period of 2025. The decrease was in line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decline in revenues.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Gross profit </w:t>
      </w:r>
      <w:r>
        <w:rPr>
          <w:rFonts w:ascii="Times New Roman" w:cs="Times New Roman" w:eastAsia="Times New Roman" w:hAnsi="Times New Roman"/>
          <w:sz w:val="18"/>
          <w:szCs w:val="18"/>
          <w:color w:val="auto"/>
        </w:rPr>
        <w:t>was RMB105.8 million (US$15.3 million), compared with RMB126.7 million in the same period of 2025. Gross profit margin was 11.3%,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compared with 13.2% in the same period of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17830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6" w:lineRule="exact"/>
        <w:rPr>
          <w:sz w:val="20"/>
          <w:szCs w:val="20"/>
          <w:color w:val="auto"/>
        </w:rPr>
      </w:pPr>
    </w:p>
    <w:p>
      <w:pPr>
        <w:jc w:val="both"/>
        <w:ind w:firstLine="8"/>
        <w:spacing w:after="0" w:line="210" w:lineRule="auto"/>
        <w:tabs>
          <w:tab w:leader="none" w:pos="144" w:val="left"/>
        </w:tabs>
        <w:numPr>
          <w:ilvl w:val="0"/>
          <w:numId w:val="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income from operations, non-GAAP net income (loss), non-GAAP operating margin and non-GAAP net income (loss) margin are non-GAAP financial measures. For more information on non-GAAP financial measures, please see the section “Use of Non-GAAP Financial Measures” and the table captioned “Reconciliations of GAAP and Non-GAAP Results.”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 w:name="page5"/>
    <w:bookmarkEnd w:id="4"/>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Total operating expenses </w:t>
      </w:r>
      <w:r>
        <w:rPr>
          <w:rFonts w:ascii="Times New Roman" w:cs="Times New Roman" w:eastAsia="Times New Roman" w:hAnsi="Times New Roman"/>
          <w:sz w:val="18"/>
          <w:szCs w:val="18"/>
          <w:color w:val="auto"/>
        </w:rPr>
        <w:t>were RMB94.8 million (US$13.7 million), representing a decrease of 18.7% from RMB116.7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Selling and marketing expenses </w:t>
      </w:r>
      <w:r>
        <w:rPr>
          <w:rFonts w:ascii="Times New Roman" w:cs="Times New Roman" w:eastAsia="Times New Roman" w:hAnsi="Times New Roman"/>
          <w:sz w:val="18"/>
          <w:szCs w:val="18"/>
          <w:color w:val="auto"/>
        </w:rPr>
        <w:t>were RMB38.5 million (US$5.6 million), representing a decrease of 22.0% from RMB49.3 million in the same period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2025. The decrease was primarily attributable to the reduction in staff costs and advertising expenses.</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were RMB39.9 million (US$5.8 million), remaining relatively stable compared with RMB37.9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2025.</w:t>
      </w:r>
    </w:p>
    <w:p>
      <w:pPr>
        <w:spacing w:after="0" w:line="15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Research and development expenses </w:t>
      </w:r>
      <w:r>
        <w:rPr>
          <w:rFonts w:ascii="Times New Roman" w:cs="Times New Roman" w:eastAsia="Times New Roman" w:hAnsi="Times New Roman"/>
          <w:sz w:val="18"/>
          <w:szCs w:val="18"/>
          <w:color w:val="auto"/>
        </w:rPr>
        <w:t>were RMB16.5 million (US$2.4 million), representing a decrease of 44.1% from RMB29.5 million in the same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period of 2025. The decrease was primarily attributable to the reduction in staff costs and share-based payment expenses.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Income from operations </w:t>
      </w:r>
      <w:r>
        <w:rPr>
          <w:rFonts w:ascii="Times New Roman" w:cs="Times New Roman" w:eastAsia="Times New Roman" w:hAnsi="Times New Roman"/>
          <w:sz w:val="18"/>
          <w:szCs w:val="18"/>
          <w:color w:val="auto"/>
        </w:rPr>
        <w:t>was RMB11.0 million (US$1.6 million), compared with RMB10.0 million in the same period of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RMB21.6 million (US$3.1 million), compared with RMB26.6 million in the same period of 2025.</w:t>
      </w:r>
    </w:p>
    <w:p>
      <w:pPr>
        <w:spacing w:after="0" w:line="13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color w:val="auto"/>
        </w:rPr>
        <w:t xml:space="preserve">Changes in fair value of long-term investments </w:t>
      </w:r>
      <w:r>
        <w:rPr>
          <w:rFonts w:ascii="Times New Roman" w:cs="Times New Roman" w:eastAsia="Times New Roman" w:hAnsi="Times New Roman"/>
          <w:sz w:val="18"/>
          <w:szCs w:val="18"/>
          <w:color w:val="auto"/>
        </w:rPr>
        <w:t>were RMB20.8 million (US$3.0 million), representing a decrease of 51.9% compared with RMB43.3</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in the same period of 2025. The decrease was primarily attributable to the reduction in losses from the fair value measurement of long-term investments.</w:t>
      </w:r>
    </w:p>
    <w:p>
      <w:pPr>
        <w:spacing w:after="0" w:line="17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Investment loss </w:t>
      </w:r>
      <w:r>
        <w:rPr>
          <w:rFonts w:ascii="Times New Roman" w:cs="Times New Roman" w:eastAsia="Times New Roman" w:hAnsi="Times New Roman"/>
          <w:sz w:val="18"/>
          <w:szCs w:val="18"/>
          <w:color w:val="auto"/>
        </w:rPr>
        <w:t>was RMB36.2 million (US$5.2 million), compared with an investment income of RMB8.9 million in the same period of 2025, reflecting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the decrease in the fair value of short-term investments.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Net loss </w:t>
      </w:r>
      <w:r>
        <w:rPr>
          <w:rFonts w:ascii="Times New Roman" w:cs="Times New Roman" w:eastAsia="Times New Roman" w:hAnsi="Times New Roman"/>
          <w:sz w:val="18"/>
          <w:szCs w:val="18"/>
          <w:color w:val="auto"/>
        </w:rPr>
        <w:t>was RMB42.6 million (US$6.2 million), compared with RMB10.3 million in the same period of 2025.</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net loss</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was RMB11.1 million (US$1.6 million), compared with non-GAAP net income of RMB49.6 million in the same period of 2025.</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Basic net loss per ordinary share </w:t>
      </w:r>
      <w:r>
        <w:rPr>
          <w:rFonts w:ascii="Times New Roman" w:cs="Times New Roman" w:eastAsia="Times New Roman" w:hAnsi="Times New Roman"/>
          <w:sz w:val="18"/>
          <w:szCs w:val="18"/>
          <w:color w:val="auto"/>
        </w:rPr>
        <w:t>was RMB0.21 (US$0.03).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Diluted net loss per ordinary share </w:t>
      </w:r>
      <w:r>
        <w:rPr>
          <w:rFonts w:ascii="Times New Roman" w:cs="Times New Roman" w:eastAsia="Times New Roman" w:hAnsi="Times New Roman"/>
          <w:sz w:val="18"/>
          <w:szCs w:val="18"/>
          <w:color w:val="auto"/>
        </w:rPr>
        <w:t>was RMB0.21 (US$0.03).</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As of March 31, 2026, </w:t>
      </w:r>
      <w:r>
        <w:rPr>
          <w:rFonts w:ascii="Times New Roman" w:cs="Times New Roman" w:eastAsia="Times New Roman" w:hAnsi="Times New Roman"/>
          <w:sz w:val="18"/>
          <w:szCs w:val="18"/>
          <w:b w:val="1"/>
          <w:bCs w:val="1"/>
          <w:color w:val="auto"/>
        </w:rPr>
        <w:t>cash and cash equivalents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restricted cash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color w:val="auto"/>
        </w:rPr>
        <w:t>short-term investments</w:t>
      </w:r>
      <w:r>
        <w:rPr>
          <w:rFonts w:ascii="Times New Roman" w:cs="Times New Roman" w:eastAsia="Times New Roman" w:hAnsi="Times New Roman"/>
          <w:sz w:val="18"/>
          <w:szCs w:val="18"/>
          <w:color w:val="auto"/>
        </w:rPr>
        <w:t xml:space="preserve"> were RMB859.1 million (US$124.5 million).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Update on Share Repurchase</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March 17, 2026, the Board of Directors approved a one-year extension of the Company’s existing share repurchase program. The Company is authorized to repurchase up to an aggregate of US$30.0 million worth of its shares until April 1, 2027. As of May 20, 2026, the Company had repurchased a total of approximately 3.3 million ADSs in the open market with cash for an aggregate consideration of approximately US$10.4 million.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will host an earnings conference call on Thursday, May 21, 2026, at 8:00PM Beijing Time (8:00AM U.S. Eastern Time) to discuss the results.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Participants are required to pre-register for the conference call at: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https://register-conf.media-server.com/register/BI679071586eb64abfa7ef0cacb5cf24bd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Upon registration, participants will receive an email containing participant dial-in numbers and a personal PIN to join the conference call.</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For more information, please visit: </w:t>
      </w:r>
      <w:r>
        <w:rPr>
          <w:rFonts w:ascii="Times New Roman" w:cs="Times New Roman" w:eastAsia="Times New Roman" w:hAnsi="Times New Roman"/>
          <w:sz w:val="18"/>
          <w:szCs w:val="18"/>
          <w:u w:val="single" w:color="auto"/>
          <w:color w:val="auto"/>
        </w:rPr>
        <w:t>http://ir.ishansong.com</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7830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73" w:lineRule="exact"/>
        <w:rPr>
          <w:sz w:val="20"/>
          <w:szCs w:val="20"/>
          <w:color w:val="auto"/>
        </w:rPr>
      </w:pPr>
    </w:p>
    <w:p>
      <w:pPr>
        <w:jc w:val="both"/>
        <w:ind w:firstLine="8"/>
        <w:spacing w:after="0" w:line="210" w:lineRule="auto"/>
        <w:tabs>
          <w:tab w:leader="none" w:pos="144" w:val="left"/>
        </w:tabs>
        <w:numPr>
          <w:ilvl w:val="0"/>
          <w:numId w:val="3"/>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Non-GAAP income from operations, non-GAAP net income (loss), non-GAAP operating margin and non-GAAP net income (loss) margin are non-GAAP financial measures. For more information on non-GAAP financial measures, please see the section “Use of Non-GAAP Financial Measures” and the table captioned “Reconciliations of GAAP and Non-GAAP Results.”</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5" w:name="page6"/>
    <w:bookmarkEnd w:id="5"/>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A live webcast of the conference call will be available on the Company’s investor relations website at </w:t>
      </w:r>
      <w:r>
        <w:rPr>
          <w:rFonts w:ascii="Times New Roman" w:cs="Times New Roman" w:eastAsia="Times New Roman" w:hAnsi="Times New Roman"/>
          <w:sz w:val="18"/>
          <w:szCs w:val="18"/>
          <w:u w:val="single" w:color="auto"/>
          <w:color w:val="auto"/>
        </w:rPr>
        <w:t>http://ir.ishansong.com</w:t>
      </w:r>
      <w:r>
        <w:rPr>
          <w:rFonts w:ascii="Times New Roman" w:cs="Times New Roman" w:eastAsia="Times New Roman" w:hAnsi="Times New Roman"/>
          <w:sz w:val="18"/>
          <w:szCs w:val="18"/>
          <w:color w:val="auto"/>
        </w:rPr>
        <w:t>, and a replay of the webcast will be available following the session.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BingEx Limited</w:t>
      </w:r>
    </w:p>
    <w:p>
      <w:pPr>
        <w:spacing w:after="0" w:line="229" w:lineRule="exact"/>
        <w:rPr>
          <w:sz w:val="20"/>
          <w:szCs w:val="20"/>
          <w:color w:val="auto"/>
        </w:rPr>
      </w:pPr>
    </w:p>
    <w:p>
      <w:pPr>
        <w:jc w:val="both"/>
        <w:spacing w:after="0" w:line="227" w:lineRule="exact"/>
        <w:rPr>
          <w:sz w:val="20"/>
          <w:szCs w:val="20"/>
          <w:color w:val="auto"/>
        </w:rPr>
      </w:pPr>
      <w:r>
        <w:rPr>
          <w:rFonts w:ascii="Times New Roman" w:cs="Times New Roman" w:eastAsia="Times New Roman" w:hAnsi="Times New Roman"/>
          <w:sz w:val="18"/>
          <w:szCs w:val="18"/>
          <w:color w:val="auto"/>
        </w:rPr>
        <w:t>BingEx Limited (Nasdaq: FLX) is a pioneer in China in providing on-demand dedicated courier services for individual and business customers with superior time certainty, delivery safety and service quality. The company brands its services as “FlashEx,” or “</w:t>
      </w:r>
      <w:r>
        <w:rPr>
          <w:rFonts w:ascii="SimSun" w:cs="SimSun" w:eastAsia="SimSun" w:hAnsi="SimSun"/>
          <w:sz w:val="18"/>
          <w:szCs w:val="18"/>
          <w:color w:val="auto"/>
        </w:rPr>
        <w:t>闪送</w:t>
      </w:r>
      <w:r>
        <w:rPr>
          <w:rFonts w:ascii="Times New Roman" w:cs="Times New Roman" w:eastAsia="Times New Roman" w:hAnsi="Times New Roman"/>
          <w:sz w:val="18"/>
          <w:szCs w:val="18"/>
          <w:color w:val="auto"/>
        </w:rPr>
        <w:t>”. FlashEx has become synonymous with on-demand dedicated courier services in China. With a mission to make people’s lives better through its services, FlashEx remains dedicated to consistently providing a superior customer experience and offering a unique value proposition to all participants in its business.</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Use of Non-GAAP Financial Measures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To supplement our financial results presented in accordance with U.S. GAAP, we use non-GAAP financial measures, namely non-GAAP income from operations, non-GAAP net income (loss), non-GAAP operating margin and non-GAAP net income (loss) margin, as supplemental measures to evaluate our operating results and make financial and operational decisions. Non-GAAP income from operations represents income from operations excluding share-based compensation expenses. Non-GAAP operating margin is equal to non-GAAP income from operations divided by revenues. Non-GAAP net income (loss) represents net income (loss) excluding changes in fair value of long-term investments and share-based compensation expenses. Non-GAAP net income (loss) margin is equal to non-GAAP net income (loss) divided by revenues.</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By excluding the impact of changes in fair value of long-term investments and share-based compensation expenses, which are non-cash charges, we believe that non-GAAP financial measures help identify underlying trends in our business that could otherwise be distorted by the effect of certain earnings or losses that we include in results based on U.S. GAAP. We believe that non-GAAP financial measures provide useful information about our operating results, enhance the overall understanding of our past performance and future prospects and allow for greater visibility into key metrics used by our management in its financial and operational decision-making.</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non-GAAP financial measures should be considered in addition to results prepared in accordance with U.S. GAAP but should not be considered a substitute for or superior to U.S. GAAP results. In addition, our calculation of non-GAAP financial information may be different from the calculation used by other companies, and therefore comparability may be limited.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Reconciliations of our non-GAAP results to our U.S. GAAP financial measures are set forth in tables at the end of this earnings release, which provide more details on the non-GAAP financial measures.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Exchange Rate Information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This announcement contains translations of certain RMB amounts into U.S. dollars (“USD”) at specified rates solely for the convenience of the reader. Unless otherwise stated, all translations from RMB to USD were made at the rate of RMB6.8980 to US$1.00, the exchange rate set forth in the H.10 statistical release of the Board of Governors of the Federal Reserve System as of March 31, 2026.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This press release contains forward-looking statements. These statements are made pursuant to the “safe harbor” provisions of the U.S. Private Securities Litigation Reform Act of 1995. Statements that are not historical facts, including statements about the Company’s beliefs, plans, and expectations, are forward-looking statements. Forward-looking statements involve inherent risks and uncertainties. A number of factors could cause actual results to differ materially from those contained in any forward-looking statement. In some cases, these forward-looking statements can be identified by terminology such as “may,” “will,” “expect,” “anticipate,” “target,” “aim,” “estimate,” “intend,” “plan,” “believe,” “potential,” “continue,” “is/are likely to,” or other similar expressions. Further information regarding these and other risks, uncertainties or factors is included in the Company’s filings with the SEC. All information provided in this press release is as of the date of this press release, and the Company does not undertake any duty to update such information, except as required under applicable law.</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China: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BingEx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ir@ishansong.com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Helen Wu</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+86-10-6508-0677</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FlashEx@thepiacentegroup.com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 the United States: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Piacente Financial Communications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Brandi Piacente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Tel: +1-212-481-2050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FlashEx@thepiacentegroup.com</w:t>
      </w: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447"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444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820" w:type="dxa"/>
            <w:vAlign w:val="bottom"/>
            <w:gridSpan w:val="2"/>
          </w:tcPr>
          <w:p>
            <w:pPr>
              <w:jc w:val="center"/>
              <w:ind w:right="340"/>
              <w:spacing w:after="0"/>
              <w:rPr>
                <w:sz w:val="20"/>
                <w:szCs w:val="20"/>
                <w:color w:val="auto"/>
              </w:rPr>
            </w:pPr>
            <w:r>
              <w:rPr>
                <w:rFonts w:ascii="Times New Roman" w:cs="Times New Roman" w:eastAsia="Times New Roman" w:hAnsi="Times New Roman"/>
                <w:sz w:val="18"/>
                <w:szCs w:val="18"/>
                <w:b w:val="1"/>
                <w:bCs w:val="1"/>
                <w:color w:val="auto"/>
                <w:w w:val="99"/>
              </w:rPr>
              <w:t>December 31,</w:t>
            </w:r>
          </w:p>
        </w:tc>
        <w:tc>
          <w:tcPr>
            <w:tcW w:w="2180" w:type="dxa"/>
            <w:vAlign w:val="bottom"/>
            <w:gridSpan w:val="3"/>
          </w:tcPr>
          <w:p>
            <w:pPr>
              <w:jc w:val="center"/>
              <w:ind w:left="97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8"/>
        </w:trPr>
        <w:tc>
          <w:tcPr>
            <w:tcW w:w="4440" w:type="dxa"/>
            <w:vAlign w:val="bottom"/>
          </w:tcPr>
          <w:p>
            <w:pPr>
              <w:spacing w:after="0"/>
              <w:rPr>
                <w:sz w:val="20"/>
                <w:szCs w:val="20"/>
                <w:color w:val="auto"/>
              </w:rPr>
            </w:pPr>
          </w:p>
        </w:tc>
        <w:tc>
          <w:tcPr>
            <w:tcW w:w="3120" w:type="dxa"/>
            <w:vAlign w:val="bottom"/>
            <w:gridSpan w:val="2"/>
          </w:tcPr>
          <w:p>
            <w:pPr>
              <w:jc w:val="center"/>
              <w:ind w:left="1550"/>
              <w:spacing w:after="0"/>
              <w:rPr>
                <w:sz w:val="20"/>
                <w:szCs w:val="20"/>
                <w:color w:val="auto"/>
              </w:rPr>
            </w:pPr>
            <w:r>
              <w:rPr>
                <w:rFonts w:ascii="Times New Roman" w:cs="Times New Roman" w:eastAsia="Times New Roman" w:hAnsi="Times New Roman"/>
                <w:sz w:val="18"/>
                <w:szCs w:val="18"/>
                <w:b w:val="1"/>
                <w:bCs w:val="1"/>
                <w:color w:val="auto"/>
                <w:w w:val="99"/>
              </w:rPr>
              <w:t>2025</w:t>
            </w:r>
          </w:p>
        </w:tc>
        <w:tc>
          <w:tcPr>
            <w:tcW w:w="340" w:type="dxa"/>
            <w:vAlign w:val="bottom"/>
          </w:tcPr>
          <w:p>
            <w:pPr>
              <w:spacing w:after="0"/>
              <w:rPr>
                <w:sz w:val="20"/>
                <w:szCs w:val="20"/>
                <w:color w:val="auto"/>
              </w:rPr>
            </w:pPr>
          </w:p>
        </w:tc>
        <w:tc>
          <w:tcPr>
            <w:tcW w:w="2180" w:type="dxa"/>
            <w:vAlign w:val="bottom"/>
            <w:gridSpan w:val="3"/>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44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340" w:type="dxa"/>
            <w:vAlign w:val="bottom"/>
          </w:tcPr>
          <w:p>
            <w:pPr>
              <w:spacing w:after="0"/>
              <w:rPr>
                <w:sz w:val="18"/>
                <w:szCs w:val="18"/>
                <w:color w:val="auto"/>
              </w:rPr>
            </w:pPr>
          </w:p>
        </w:tc>
        <w:tc>
          <w:tcPr>
            <w:tcW w:w="2180" w:type="dxa"/>
            <w:vAlign w:val="bottom"/>
            <w:tcBorders>
              <w:top w:val="single" w:sz="8" w:color="auto"/>
            </w:tcBorders>
            <w:gridSpan w:val="3"/>
          </w:tcPr>
          <w:p>
            <w:pPr>
              <w:ind w:left="520"/>
              <w:spacing w:after="0"/>
              <w:rPr>
                <w:sz w:val="20"/>
                <w:szCs w:val="20"/>
                <w:color w:val="auto"/>
              </w:rPr>
            </w:pPr>
            <w:r>
              <w:rPr>
                <w:rFonts w:ascii="Times New Roman" w:cs="Times New Roman" w:eastAsia="Times New Roman" w:hAnsi="Times New Roman"/>
                <w:sz w:val="18"/>
                <w:szCs w:val="18"/>
                <w:b w:val="1"/>
                <w:bCs w:val="1"/>
                <w:color w:val="auto"/>
              </w:rPr>
              <w:t>RMB</w:t>
            </w:r>
          </w:p>
        </w:tc>
        <w:tc>
          <w:tcPr>
            <w:tcW w:w="1060" w:type="dxa"/>
            <w:vAlign w:val="bottom"/>
            <w:tcBorders>
              <w:top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561,127</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525,809</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76,226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91</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300</w:t>
            </w: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Short-term investments</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390,353</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333,019</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48,278</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36,726</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35,793</w:t>
            </w: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5,189</w:t>
            </w:r>
          </w:p>
        </w:tc>
        <w:tc>
          <w:tcPr>
            <w:tcW w:w="0" w:type="dxa"/>
            <w:vAlign w:val="bottom"/>
          </w:tcPr>
          <w:p>
            <w:pPr>
              <w:spacing w:after="0"/>
              <w:rPr>
                <w:sz w:val="1"/>
                <w:szCs w:val="1"/>
                <w:color w:val="auto"/>
              </w:rPr>
            </w:pPr>
          </w:p>
        </w:tc>
      </w:tr>
      <w:tr>
        <w:trPr>
          <w:trHeight w:val="229"/>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45,665</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30,574</w:t>
            </w: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4,431</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current assets</w:t>
            </w:r>
          </w:p>
        </w:tc>
        <w:tc>
          <w:tcPr>
            <w:tcW w:w="16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1,033,962</w:t>
            </w:r>
          </w:p>
        </w:tc>
        <w:tc>
          <w:tcPr>
            <w:tcW w:w="3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925,495</w:t>
            </w:r>
          </w:p>
        </w:tc>
        <w:tc>
          <w:tcPr>
            <w:tcW w:w="3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134,167</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Non-current assets</w:t>
            </w:r>
          </w:p>
        </w:tc>
        <w:tc>
          <w:tcPr>
            <w:tcW w:w="1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Long-term investments</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224,404</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230,188</w:t>
            </w: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33,370</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1,941</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1,764</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25,087</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22,901</w:t>
            </w: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3,320</w:t>
            </w: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non-current assets</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3,062</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3,086</w:t>
            </w: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assets</w:t>
            </w:r>
          </w:p>
        </w:tc>
        <w:tc>
          <w:tcPr>
            <w:tcW w:w="16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254,494</w:t>
            </w:r>
          </w:p>
        </w:tc>
        <w:tc>
          <w:tcPr>
            <w:tcW w:w="3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257,939</w:t>
            </w:r>
          </w:p>
        </w:tc>
        <w:tc>
          <w:tcPr>
            <w:tcW w:w="3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37,393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6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1,288,456</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1,183,434</w:t>
            </w:r>
          </w:p>
        </w:tc>
        <w:tc>
          <w:tcPr>
            <w:tcW w:w="3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171,560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64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payable</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224,090</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198,561</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28,785</w:t>
            </w: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Deferred revenue</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60,541</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58,584</w:t>
            </w:r>
          </w:p>
        </w:tc>
        <w:tc>
          <w:tcPr>
            <w:tcW w:w="40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8,493</w:t>
            </w: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current</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9,728</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9,685</w:t>
            </w:r>
          </w:p>
        </w:tc>
        <w:tc>
          <w:tcPr>
            <w:tcW w:w="4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1,404</w:t>
            </w:r>
          </w:p>
        </w:tc>
        <w:tc>
          <w:tcPr>
            <w:tcW w:w="0" w:type="dxa"/>
            <w:vAlign w:val="bottom"/>
          </w:tcPr>
          <w:p>
            <w:pPr>
              <w:spacing w:after="0"/>
              <w:rPr>
                <w:sz w:val="1"/>
                <w:szCs w:val="1"/>
                <w:color w:val="auto"/>
              </w:rPr>
            </w:pPr>
          </w:p>
        </w:tc>
      </w:tr>
      <w:tr>
        <w:trPr>
          <w:trHeight w:val="229"/>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3460" w:type="dxa"/>
            <w:vAlign w:val="bottom"/>
            <w:gridSpan w:val="3"/>
          </w:tcPr>
          <w:p>
            <w:pPr>
              <w:jc w:val="right"/>
              <w:ind w:right="340"/>
              <w:spacing w:after="0"/>
              <w:rPr>
                <w:sz w:val="20"/>
                <w:szCs w:val="20"/>
                <w:color w:val="auto"/>
              </w:rPr>
            </w:pPr>
            <w:r>
              <w:rPr>
                <w:rFonts w:ascii="Times New Roman" w:cs="Times New Roman" w:eastAsia="Times New Roman" w:hAnsi="Times New Roman"/>
                <w:sz w:val="18"/>
                <w:szCs w:val="18"/>
                <w:color w:val="auto"/>
              </w:rPr>
              <w:t>145,791</w:t>
            </w:r>
          </w:p>
        </w:tc>
        <w:tc>
          <w:tcPr>
            <w:tcW w:w="1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122,248</w:t>
            </w:r>
          </w:p>
        </w:tc>
        <w:tc>
          <w:tcPr>
            <w:tcW w:w="40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17,722</w:t>
            </w:r>
          </w:p>
        </w:tc>
        <w:tc>
          <w:tcPr>
            <w:tcW w:w="0" w:type="dxa"/>
            <w:vAlign w:val="bottom"/>
          </w:tcPr>
          <w:p>
            <w:pPr>
              <w:spacing w:after="0"/>
              <w:rPr>
                <w:sz w:val="1"/>
                <w:szCs w:val="1"/>
                <w:color w:val="auto"/>
              </w:rPr>
            </w:pPr>
          </w:p>
        </w:tc>
      </w:tr>
      <w:tr>
        <w:trPr>
          <w:trHeight w:val="210"/>
        </w:trPr>
        <w:tc>
          <w:tcPr>
            <w:tcW w:w="44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current liabilities</w:t>
            </w:r>
          </w:p>
        </w:tc>
        <w:tc>
          <w:tcPr>
            <w:tcW w:w="164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440,150</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389,078</w:t>
            </w:r>
          </w:p>
        </w:tc>
        <w:tc>
          <w:tcPr>
            <w:tcW w:w="3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56,404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Non-current liabilities</w:t>
            </w:r>
          </w:p>
        </w:tc>
        <w:tc>
          <w:tcPr>
            <w:tcW w:w="164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liabilities, non-current</w:t>
            </w:r>
          </w:p>
        </w:tc>
        <w:tc>
          <w:tcPr>
            <w:tcW w:w="3460" w:type="dxa"/>
            <w:vAlign w:val="bottom"/>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8"/>
                <w:szCs w:val="18"/>
                <w:color w:val="auto"/>
              </w:rPr>
              <w:t>12,879</w:t>
            </w:r>
          </w:p>
        </w:tc>
        <w:tc>
          <w:tcPr>
            <w:tcW w:w="1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10,867</w:t>
            </w:r>
          </w:p>
        </w:tc>
        <w:tc>
          <w:tcPr>
            <w:tcW w:w="4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1,575</w:t>
            </w:r>
          </w:p>
        </w:tc>
        <w:tc>
          <w:tcPr>
            <w:tcW w:w="0" w:type="dxa"/>
            <w:vAlign w:val="bottom"/>
          </w:tcPr>
          <w:p>
            <w:pPr>
              <w:spacing w:after="0"/>
              <w:rPr>
                <w:sz w:val="1"/>
                <w:szCs w:val="1"/>
                <w:color w:val="auto"/>
              </w:rPr>
            </w:pPr>
          </w:p>
        </w:tc>
      </w:tr>
      <w:tr>
        <w:trPr>
          <w:trHeight w:val="209"/>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non-current liabilities</w:t>
            </w:r>
          </w:p>
        </w:tc>
        <w:tc>
          <w:tcPr>
            <w:tcW w:w="1640" w:type="dxa"/>
            <w:vAlign w:val="bottom"/>
            <w:tcBorders>
              <w:bottom w:val="single" w:sz="8" w:color="CCEEFF"/>
            </w:tcBorders>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12,879</w:t>
            </w:r>
          </w:p>
        </w:tc>
        <w:tc>
          <w:tcPr>
            <w:tcW w:w="340" w:type="dxa"/>
            <w:vAlign w:val="bottom"/>
            <w:tcBorders>
              <w:bottom w:val="single" w:sz="8" w:color="CCEEFF"/>
            </w:tcBorders>
          </w:tcPr>
          <w:p>
            <w:pPr>
              <w:spacing w:after="0"/>
              <w:rPr>
                <w:sz w:val="18"/>
                <w:szCs w:val="18"/>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10,867</w:t>
            </w:r>
          </w:p>
        </w:tc>
        <w:tc>
          <w:tcPr>
            <w:tcW w:w="320" w:type="dxa"/>
            <w:vAlign w:val="bottom"/>
            <w:tcBorders>
              <w:bottom w:val="single" w:sz="8" w:color="CCEEFF"/>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1,575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640" w:type="dxa"/>
            <w:vAlign w:val="bottom"/>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453,029</w:t>
            </w:r>
          </w:p>
        </w:tc>
        <w:tc>
          <w:tcPr>
            <w:tcW w:w="34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399,945</w:t>
            </w:r>
          </w:p>
        </w:tc>
        <w:tc>
          <w:tcPr>
            <w:tcW w:w="3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57,979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4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Shareholders’ equity</w:t>
            </w:r>
          </w:p>
        </w:tc>
        <w:tc>
          <w:tcPr>
            <w:tcW w:w="1640" w:type="dxa"/>
            <w:vAlign w:val="bottom"/>
            <w:tcBorders>
              <w:bottom w:val="single" w:sz="8" w:color="CCEEFF"/>
            </w:tcBorders>
          </w:tcPr>
          <w:p>
            <w:pPr>
              <w:spacing w:after="0"/>
              <w:rPr>
                <w:sz w:val="18"/>
                <w:szCs w:val="18"/>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835,427</w:t>
            </w:r>
          </w:p>
        </w:tc>
        <w:tc>
          <w:tcPr>
            <w:tcW w:w="340" w:type="dxa"/>
            <w:vAlign w:val="bottom"/>
            <w:tcBorders>
              <w:bottom w:val="single" w:sz="8" w:color="CCEEFF"/>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783,489</w:t>
            </w:r>
          </w:p>
        </w:tc>
        <w:tc>
          <w:tcPr>
            <w:tcW w:w="32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113,581</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shareholders’ equity</w:t>
            </w:r>
          </w:p>
        </w:tc>
        <w:tc>
          <w:tcPr>
            <w:tcW w:w="164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1,288,456</w:t>
            </w:r>
          </w:p>
        </w:tc>
        <w:tc>
          <w:tcPr>
            <w:tcW w:w="34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1,183,434</w:t>
            </w:r>
          </w:p>
        </w:tc>
        <w:tc>
          <w:tcPr>
            <w:tcW w:w="3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171,560</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440" w:type="dxa"/>
            <w:vAlign w:val="bottom"/>
          </w:tcPr>
          <w:p>
            <w:pPr>
              <w:spacing w:after="0" w:line="20" w:lineRule="exact"/>
              <w:rPr>
                <w:sz w:val="1"/>
                <w:szCs w:val="1"/>
                <w:color w:val="auto"/>
              </w:rPr>
            </w:pPr>
          </w:p>
        </w:tc>
        <w:tc>
          <w:tcPr>
            <w:tcW w:w="1640" w:type="dxa"/>
            <w:vAlign w:val="bottom"/>
            <w:vMerge w:val="restart"/>
          </w:tcPr>
          <w:p>
            <w:pPr>
              <w:jc w:val="right"/>
              <w:ind w:right="330"/>
              <w:spacing w:after="0"/>
              <w:rPr>
                <w:sz w:val="20"/>
                <w:szCs w:val="20"/>
                <w:color w:val="auto"/>
              </w:rPr>
            </w:pPr>
            <w:r>
              <w:rPr>
                <w:rFonts w:ascii="Times New Roman" w:cs="Times New Roman" w:eastAsia="Times New Roman" w:hAnsi="Times New Roman"/>
                <w:sz w:val="18"/>
                <w:szCs w:val="18"/>
                <w:color w:val="auto"/>
              </w:rPr>
              <w:t>4</w:t>
            </w:r>
          </w:p>
        </w:tc>
        <w:tc>
          <w:tcPr>
            <w:tcW w:w="14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4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vMerge w:val="continue"/>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684"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80" w:type="dxa"/>
            <w:vAlign w:val="bottom"/>
          </w:tcPr>
          <w:p>
            <w:pPr>
              <w:spacing w:after="0"/>
              <w:rPr>
                <w:sz w:val="20"/>
                <w:szCs w:val="20"/>
                <w:color w:val="auto"/>
              </w:rPr>
            </w:pPr>
          </w:p>
        </w:tc>
        <w:tc>
          <w:tcPr>
            <w:tcW w:w="3940" w:type="dxa"/>
            <w:vAlign w:val="bottom"/>
            <w:tcBorders>
              <w:bottom w:val="single" w:sz="8" w:color="auto"/>
            </w:tcBorders>
            <w:gridSpan w:val="5"/>
          </w:tcPr>
          <w:p>
            <w:pPr>
              <w:ind w:left="132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6080" w:type="dxa"/>
            <w:vAlign w:val="bottom"/>
          </w:tcPr>
          <w:p>
            <w:pPr>
              <w:spacing w:after="0"/>
              <w:rPr>
                <w:sz w:val="19"/>
                <w:szCs w:val="19"/>
                <w:color w:val="auto"/>
              </w:rPr>
            </w:pPr>
          </w:p>
        </w:tc>
        <w:tc>
          <w:tcPr>
            <w:tcW w:w="148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40" w:type="dxa"/>
            <w:vAlign w:val="bottom"/>
          </w:tcPr>
          <w:p>
            <w:pPr>
              <w:spacing w:after="0"/>
              <w:rPr>
                <w:sz w:val="19"/>
                <w:szCs w:val="19"/>
                <w:color w:val="auto"/>
              </w:rPr>
            </w:pPr>
          </w:p>
        </w:tc>
        <w:tc>
          <w:tcPr>
            <w:tcW w:w="14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3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r>
      <w:tr>
        <w:trPr>
          <w:trHeight w:val="232"/>
        </w:trPr>
        <w:tc>
          <w:tcPr>
            <w:tcW w:w="6080" w:type="dxa"/>
            <w:vAlign w:val="bottom"/>
          </w:tcPr>
          <w:p>
            <w:pPr>
              <w:spacing w:after="0"/>
              <w:rPr>
                <w:sz w:val="20"/>
                <w:szCs w:val="20"/>
                <w:color w:val="auto"/>
              </w:rPr>
            </w:pPr>
          </w:p>
        </w:tc>
        <w:tc>
          <w:tcPr>
            <w:tcW w:w="148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RMB</w:t>
            </w:r>
          </w:p>
        </w:tc>
        <w:tc>
          <w:tcPr>
            <w:tcW w:w="340" w:type="dxa"/>
            <w:vAlign w:val="bottom"/>
          </w:tcPr>
          <w:p>
            <w:pPr>
              <w:spacing w:after="0"/>
              <w:rPr>
                <w:sz w:val="20"/>
                <w:szCs w:val="20"/>
                <w:color w:val="auto"/>
              </w:rPr>
            </w:pPr>
          </w:p>
        </w:tc>
        <w:tc>
          <w:tcPr>
            <w:tcW w:w="146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r>
      <w:tr>
        <w:trPr>
          <w:trHeight w:val="194"/>
        </w:trPr>
        <w:tc>
          <w:tcPr>
            <w:tcW w:w="60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960,762</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935,295</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135,589</w:t>
            </w:r>
          </w:p>
        </w:tc>
      </w:tr>
      <w:tr>
        <w:trPr>
          <w:trHeight w:val="230"/>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(834,088)</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(829,463)</w:t>
            </w:r>
          </w:p>
        </w:tc>
        <w:tc>
          <w:tcPr>
            <w:tcW w:w="34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(120,247)</w:t>
            </w:r>
          </w:p>
        </w:tc>
      </w:tr>
      <w:tr>
        <w:trPr>
          <w:trHeight w:val="209"/>
        </w:trPr>
        <w:tc>
          <w:tcPr>
            <w:tcW w:w="60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Profit</w:t>
            </w:r>
          </w:p>
        </w:tc>
        <w:tc>
          <w:tcPr>
            <w:tcW w:w="14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126,674</w:t>
            </w:r>
          </w:p>
        </w:tc>
        <w:tc>
          <w:tcPr>
            <w:tcW w:w="3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105,832</w:t>
            </w:r>
          </w:p>
        </w:tc>
        <w:tc>
          <w:tcPr>
            <w:tcW w:w="3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15,342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expenses</w:t>
            </w: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Selling and marketing expenses</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(49,334)</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(38,482)</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(5,579)</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(37,897)</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(39,886)</w:t>
            </w: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(5,782)</w:t>
            </w:r>
          </w:p>
        </w:tc>
      </w:tr>
      <w:tr>
        <w:trPr>
          <w:trHeight w:val="22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(29,482)</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(16,471)</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(2,388)</w:t>
            </w:r>
          </w:p>
        </w:tc>
      </w:tr>
      <w:tr>
        <w:trPr>
          <w:trHeight w:val="209"/>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(116,713</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(94,839</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(13,749</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21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9,961</w:t>
            </w:r>
          </w:p>
        </w:tc>
        <w:tc>
          <w:tcPr>
            <w:tcW w:w="340" w:type="dxa"/>
            <w:vAlign w:val="bottom"/>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10,993</w:t>
            </w:r>
          </w:p>
        </w:tc>
        <w:tc>
          <w:tcPr>
            <w:tcW w:w="32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1,593</w:t>
            </w:r>
          </w:p>
        </w:tc>
        <w:tc>
          <w:tcPr>
            <w:tcW w:w="100" w:type="dxa"/>
            <w:vAlign w:val="bottom"/>
            <w:shd w:val="clear" w:color="auto" w:fill="CCEEFF"/>
          </w:tcPr>
          <w:p>
            <w:pPr>
              <w:spacing w:after="0"/>
              <w:rPr>
                <w:sz w:val="18"/>
                <w:szCs w:val="18"/>
                <w:color w:val="auto"/>
              </w:rPr>
            </w:pP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4,291</w:t>
            </w:r>
          </w:p>
        </w:tc>
        <w:tc>
          <w:tcPr>
            <w:tcW w:w="34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3,029</w:t>
            </w:r>
          </w:p>
        </w:tc>
        <w:tc>
          <w:tcPr>
            <w:tcW w:w="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100" w:type="dxa"/>
            <w:vAlign w:val="bottom"/>
          </w:tcPr>
          <w:p>
            <w:pPr>
              <w:spacing w:after="0"/>
              <w:rPr>
                <w:sz w:val="18"/>
                <w:szCs w:val="18"/>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Changes in fair value of long-term investments</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(43,258)</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(20,813)</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(3,017)</w:t>
            </w: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Investment income (loss)</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8,912</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(36,151)</w:t>
            </w: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(5,241)</w:t>
            </w: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9,860</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365</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53</w:t>
            </w:r>
          </w:p>
        </w:tc>
      </w:tr>
      <w:tr>
        <w:trPr>
          <w:trHeight w:val="209"/>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Loss before income taxes</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(10,234)</w:t>
            </w:r>
          </w:p>
        </w:tc>
        <w:tc>
          <w:tcPr>
            <w:tcW w:w="340" w:type="dxa"/>
            <w:vAlign w:val="bottom"/>
          </w:tcPr>
          <w:p>
            <w:pPr>
              <w:spacing w:after="0"/>
              <w:rPr>
                <w:sz w:val="18"/>
                <w:szCs w:val="18"/>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(42,577)</w:t>
            </w:r>
          </w:p>
        </w:tc>
        <w:tc>
          <w:tcPr>
            <w:tcW w:w="3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(6,173)</w:t>
            </w:r>
          </w:p>
        </w:tc>
        <w:tc>
          <w:tcPr>
            <w:tcW w:w="100" w:type="dxa"/>
            <w:vAlign w:val="bottom"/>
          </w:tcPr>
          <w:p>
            <w:pPr>
              <w:spacing w:after="0"/>
              <w:rPr>
                <w:sz w:val="18"/>
                <w:szCs w:val="18"/>
                <w:color w:val="auto"/>
              </w:rPr>
            </w:pPr>
          </w:p>
        </w:tc>
      </w:tr>
      <w:tr>
        <w:trPr>
          <w:trHeight w:val="230"/>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tax expense</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(35)</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(23)</w:t>
            </w:r>
          </w:p>
        </w:tc>
        <w:tc>
          <w:tcPr>
            <w:tcW w:w="3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63"/>
        </w:trPr>
        <w:tc>
          <w:tcPr>
            <w:tcW w:w="608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(10,269</w:t>
            </w:r>
          </w:p>
        </w:tc>
        <w:tc>
          <w:tcPr>
            <w:tcW w:w="340" w:type="dxa"/>
            <w:vAlign w:val="bottom"/>
            <w:tcBorders>
              <w:bottom w:val="single" w:sz="8" w:color="CCEEFF"/>
            </w:tcBorders>
          </w:tcPr>
          <w:p>
            <w:pPr>
              <w:jc w:val="right"/>
              <w:ind w:right="20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(42,600</w:t>
            </w:r>
          </w:p>
        </w:tc>
        <w:tc>
          <w:tcPr>
            <w:tcW w:w="320" w:type="dxa"/>
            <w:vAlign w:val="bottom"/>
            <w:tcBorders>
              <w:bottom w:val="single" w:sz="8" w:color="CCEEFF"/>
            </w:tcBorders>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(6,176</w:t>
            </w:r>
          </w:p>
        </w:tc>
        <w:tc>
          <w:tcPr>
            <w:tcW w:w="1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b w:val="1"/>
                <w:bCs w:val="1"/>
                <w:color w:val="auto"/>
                <w:w w:val="74"/>
              </w:rPr>
              <w:t>)</w:t>
            </w:r>
          </w:p>
        </w:tc>
      </w:tr>
      <w:tr>
        <w:trPr>
          <w:trHeight w:val="197"/>
        </w:trPr>
        <w:tc>
          <w:tcPr>
            <w:tcW w:w="60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Net loss per ordinary share</w:t>
            </w:r>
          </w:p>
        </w:tc>
        <w:tc>
          <w:tcPr>
            <w:tcW w:w="14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 Basic</w:t>
            </w:r>
          </w:p>
        </w:tc>
        <w:tc>
          <w:tcPr>
            <w:tcW w:w="1820" w:type="dxa"/>
            <w:vAlign w:val="bottom"/>
            <w:gridSpan w:val="2"/>
          </w:tcPr>
          <w:p>
            <w:pPr>
              <w:jc w:val="right"/>
              <w:ind w:right="201"/>
              <w:spacing w:after="0"/>
              <w:rPr>
                <w:sz w:val="20"/>
                <w:szCs w:val="20"/>
                <w:color w:val="auto"/>
              </w:rPr>
            </w:pPr>
            <w:r>
              <w:rPr>
                <w:rFonts w:ascii="Times New Roman" w:cs="Times New Roman" w:eastAsia="Times New Roman" w:hAnsi="Times New Roman"/>
                <w:sz w:val="18"/>
                <w:szCs w:val="18"/>
                <w:color w:val="auto"/>
              </w:rPr>
              <w:t>(0.05)</w:t>
            </w:r>
          </w:p>
        </w:tc>
        <w:tc>
          <w:tcPr>
            <w:tcW w:w="17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(0.21)</w:t>
            </w:r>
          </w:p>
        </w:tc>
        <w:tc>
          <w:tcPr>
            <w:tcW w:w="340" w:type="dxa"/>
            <w:vAlign w:val="bottom"/>
          </w:tcPr>
          <w:p>
            <w:pPr>
              <w:spacing w:after="0"/>
              <w:rPr>
                <w:sz w:val="18"/>
                <w:szCs w:val="18"/>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Diluted</w:t>
            </w:r>
          </w:p>
        </w:tc>
        <w:tc>
          <w:tcPr>
            <w:tcW w:w="1820" w:type="dxa"/>
            <w:vAlign w:val="bottom"/>
            <w:gridSpan w:val="2"/>
            <w:shd w:val="clear" w:color="auto" w:fill="CCEEFF"/>
          </w:tcPr>
          <w:p>
            <w:pPr>
              <w:jc w:val="right"/>
              <w:ind w:right="201"/>
              <w:spacing w:after="0"/>
              <w:rPr>
                <w:sz w:val="20"/>
                <w:szCs w:val="20"/>
                <w:color w:val="auto"/>
              </w:rPr>
            </w:pPr>
            <w:r>
              <w:rPr>
                <w:rFonts w:ascii="Times New Roman" w:cs="Times New Roman" w:eastAsia="Times New Roman" w:hAnsi="Times New Roman"/>
                <w:sz w:val="18"/>
                <w:szCs w:val="18"/>
                <w:color w:val="auto"/>
              </w:rPr>
              <w:t>(0.05)</w:t>
            </w:r>
          </w:p>
        </w:tc>
        <w:tc>
          <w:tcPr>
            <w:tcW w:w="1780" w:type="dxa"/>
            <w:vAlign w:val="bottom"/>
            <w:gridSpan w:val="2"/>
            <w:shd w:val="clear" w:color="auto" w:fill="CCEEFF"/>
          </w:tcPr>
          <w:p>
            <w:pPr>
              <w:jc w:val="right"/>
              <w:ind w:right="181"/>
              <w:spacing w:after="0"/>
              <w:rPr>
                <w:sz w:val="20"/>
                <w:szCs w:val="20"/>
                <w:color w:val="auto"/>
              </w:rPr>
            </w:pPr>
            <w:r>
              <w:rPr>
                <w:rFonts w:ascii="Times New Roman" w:cs="Times New Roman" w:eastAsia="Times New Roman" w:hAnsi="Times New Roman"/>
                <w:sz w:val="18"/>
                <w:szCs w:val="18"/>
                <w:color w:val="auto"/>
              </w:rPr>
              <w:t>(0.21)</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(0.03)</w:t>
            </w:r>
          </w:p>
        </w:tc>
      </w:tr>
      <w:tr>
        <w:trPr>
          <w:trHeight w:val="194"/>
        </w:trPr>
        <w:tc>
          <w:tcPr>
            <w:tcW w:w="608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Weighted average number of shares outstanding used in computing net loss</w:t>
            </w:r>
          </w:p>
        </w:tc>
        <w:tc>
          <w:tcPr>
            <w:tcW w:w="1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38"/>
        </w:trPr>
        <w:tc>
          <w:tcPr>
            <w:tcW w:w="60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per ordinary share</w:t>
            </w:r>
          </w:p>
        </w:tc>
        <w:tc>
          <w:tcPr>
            <w:tcW w:w="14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Basic</w:t>
            </w:r>
          </w:p>
        </w:tc>
        <w:tc>
          <w:tcPr>
            <w:tcW w:w="1820" w:type="dxa"/>
            <w:vAlign w:val="bottom"/>
            <w:gridSpan w:val="2"/>
            <w:shd w:val="clear" w:color="auto" w:fill="CCEEFF"/>
          </w:tcPr>
          <w:p>
            <w:pPr>
              <w:jc w:val="right"/>
              <w:ind w:right="261"/>
              <w:spacing w:after="0"/>
              <w:rPr>
                <w:sz w:val="20"/>
                <w:szCs w:val="20"/>
                <w:color w:val="auto"/>
              </w:rPr>
            </w:pPr>
            <w:r>
              <w:rPr>
                <w:rFonts w:ascii="Times New Roman" w:cs="Times New Roman" w:eastAsia="Times New Roman" w:hAnsi="Times New Roman"/>
                <w:sz w:val="18"/>
                <w:szCs w:val="18"/>
                <w:color w:val="auto"/>
              </w:rPr>
              <w:t>208,420,034</w:t>
            </w:r>
          </w:p>
        </w:tc>
        <w:tc>
          <w:tcPr>
            <w:tcW w:w="1780" w:type="dxa"/>
            <w:vAlign w:val="bottom"/>
            <w:gridSpan w:val="2"/>
            <w:shd w:val="clear" w:color="auto" w:fill="CCEEFF"/>
          </w:tcPr>
          <w:p>
            <w:pPr>
              <w:jc w:val="right"/>
              <w:ind w:right="241"/>
              <w:spacing w:after="0"/>
              <w:rPr>
                <w:sz w:val="20"/>
                <w:szCs w:val="20"/>
                <w:color w:val="auto"/>
              </w:rPr>
            </w:pPr>
            <w:r>
              <w:rPr>
                <w:rFonts w:ascii="Times New Roman" w:cs="Times New Roman" w:eastAsia="Times New Roman" w:hAnsi="Times New Roman"/>
                <w:sz w:val="18"/>
                <w:szCs w:val="18"/>
                <w:color w:val="auto"/>
              </w:rPr>
              <w:t>202,259,242</w:t>
            </w:r>
          </w:p>
        </w:tc>
        <w:tc>
          <w:tcPr>
            <w:tcW w:w="3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202,259,242</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 Diluted</w:t>
            </w:r>
          </w:p>
        </w:tc>
        <w:tc>
          <w:tcPr>
            <w:tcW w:w="182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208,420,034</w:t>
            </w:r>
          </w:p>
        </w:tc>
        <w:tc>
          <w:tcPr>
            <w:tcW w:w="17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202,259,242</w:t>
            </w:r>
          </w:p>
        </w:tc>
        <w:tc>
          <w:tcPr>
            <w:tcW w:w="340" w:type="dxa"/>
            <w:vAlign w:val="bottom"/>
          </w:tcPr>
          <w:p>
            <w:pPr>
              <w:spacing w:after="0"/>
              <w:rPr>
                <w:sz w:val="20"/>
                <w:szCs w:val="20"/>
                <w:color w:val="auto"/>
              </w:rPr>
            </w:pPr>
          </w:p>
        </w:tc>
        <w:tc>
          <w:tcPr>
            <w:tcW w:w="12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202,259,242</w:t>
            </w:r>
          </w:p>
        </w:tc>
      </w:tr>
      <w:tr>
        <w:trPr>
          <w:trHeight w:val="414"/>
        </w:trPr>
        <w:tc>
          <w:tcPr>
            <w:tcW w:w="6080" w:type="dxa"/>
            <w:vAlign w:val="bottom"/>
            <w:tcBorders>
              <w:bottom w:val="single" w:sz="8" w:color="auto"/>
            </w:tcBorders>
          </w:tcPr>
          <w:p>
            <w:pPr>
              <w:ind w:left="5580"/>
              <w:spacing w:after="0"/>
              <w:rPr>
                <w:sz w:val="20"/>
                <w:szCs w:val="20"/>
                <w:color w:val="auto"/>
              </w:rPr>
            </w:pPr>
            <w:r>
              <w:rPr>
                <w:rFonts w:ascii="Times New Roman" w:cs="Times New Roman" w:eastAsia="Times New Roman" w:hAnsi="Times New Roman"/>
                <w:sz w:val="18"/>
                <w:szCs w:val="18"/>
                <w:color w:val="auto"/>
              </w:rPr>
              <w:t>5</w:t>
            </w:r>
          </w:p>
        </w:tc>
        <w:tc>
          <w:tcPr>
            <w:tcW w:w="14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4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684"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BINGEX LIMITED</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RECONCILIATIONS OF GAAP AND NON-GAAP RESULTS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(Amounts in thousands, except for number of shares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60" w:type="dxa"/>
            <w:vAlign w:val="bottom"/>
            <w:tcBorders>
              <w:bottom w:val="single" w:sz="8" w:color="auto"/>
            </w:tcBorders>
            <w:gridSpan w:val="5"/>
          </w:tcPr>
          <w:p>
            <w:pPr>
              <w:jc w:val="center"/>
              <w:ind w:left="1070"/>
              <w:spacing w:after="0"/>
              <w:rPr>
                <w:sz w:val="20"/>
                <w:szCs w:val="20"/>
                <w:color w:val="auto"/>
              </w:rPr>
            </w:pPr>
            <w:r>
              <w:rPr>
                <w:rFonts w:ascii="Times New Roman" w:cs="Times New Roman" w:eastAsia="Times New Roman" w:hAnsi="Times New Roman"/>
                <w:sz w:val="18"/>
                <w:szCs w:val="18"/>
                <w:b w:val="1"/>
                <w:bCs w:val="1"/>
                <w:color w:val="auto"/>
              </w:rPr>
              <w:t>Three months ended March 31,</w:t>
            </w:r>
          </w:p>
        </w:tc>
        <w:tc>
          <w:tcPr>
            <w:tcW w:w="11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4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460" w:type="dxa"/>
            <w:vAlign w:val="bottom"/>
          </w:tcPr>
          <w:p>
            <w:pPr>
              <w:spacing w:after="0"/>
              <w:rPr>
                <w:sz w:val="19"/>
                <w:szCs w:val="19"/>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2026</w:t>
            </w:r>
          </w:p>
        </w:tc>
        <w:tc>
          <w:tcPr>
            <w:tcW w:w="4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2026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53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440" w:type="dxa"/>
            <w:vAlign w:val="bottom"/>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RMB</w:t>
            </w:r>
          </w:p>
        </w:tc>
        <w:tc>
          <w:tcPr>
            <w:tcW w:w="460" w:type="dxa"/>
            <w:vAlign w:val="bottom"/>
          </w:tcPr>
          <w:p>
            <w:pPr>
              <w:spacing w:after="0"/>
              <w:rPr>
                <w:sz w:val="20"/>
                <w:szCs w:val="20"/>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RMB</w:t>
            </w:r>
          </w:p>
        </w:tc>
        <w:tc>
          <w:tcPr>
            <w:tcW w:w="4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Times New Roman" w:cs="Times New Roman" w:eastAsia="Times New Roman" w:hAnsi="Times New Roman"/>
                <w:sz w:val="18"/>
                <w:szCs w:val="18"/>
                <w:b w:val="1"/>
                <w:bCs w:val="1"/>
                <w:color w:val="auto"/>
              </w:rPr>
              <w:t>USD</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53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from operations</w:t>
            </w:r>
          </w:p>
        </w:tc>
        <w:tc>
          <w:tcPr>
            <w:tcW w:w="24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9,961</w:t>
            </w:r>
          </w:p>
        </w:tc>
        <w:tc>
          <w:tcPr>
            <w:tcW w:w="18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b w:val="1"/>
                <w:bCs w:val="1"/>
                <w:color w:val="auto"/>
              </w:rPr>
              <w:t>10,993</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b w:val="1"/>
                <w:bCs w:val="1"/>
                <w:color w:val="auto"/>
              </w:rPr>
              <w:t>1,593</w:t>
            </w:r>
          </w:p>
        </w:tc>
        <w:tc>
          <w:tcPr>
            <w:tcW w:w="0" w:type="dxa"/>
            <w:vAlign w:val="bottom"/>
          </w:tcPr>
          <w:p>
            <w:pPr>
              <w:spacing w:after="0"/>
              <w:rPr>
                <w:sz w:val="1"/>
                <w:szCs w:val="1"/>
                <w:color w:val="auto"/>
              </w:rPr>
            </w:pPr>
          </w:p>
        </w:tc>
      </w:tr>
      <w:tr>
        <w:trPr>
          <w:trHeight w:val="230"/>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24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16,648</w:t>
            </w:r>
          </w:p>
        </w:tc>
        <w:tc>
          <w:tcPr>
            <w:tcW w:w="1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10,646</w:t>
            </w:r>
          </w:p>
        </w:tc>
        <w:tc>
          <w:tcPr>
            <w:tcW w:w="2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income from operations</w:t>
            </w:r>
          </w:p>
        </w:tc>
        <w:tc>
          <w:tcPr>
            <w:tcW w:w="5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26,609</w:t>
            </w:r>
          </w:p>
        </w:tc>
        <w:tc>
          <w:tcPr>
            <w:tcW w:w="4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21,639</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3,136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margin</w:t>
            </w:r>
          </w:p>
        </w:tc>
        <w:tc>
          <w:tcPr>
            <w:tcW w:w="24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1.0%</w:t>
            </w: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1.2%</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Share-based compensation expenses as a percentage of revenues</w:t>
            </w:r>
          </w:p>
        </w:tc>
        <w:tc>
          <w:tcPr>
            <w:tcW w:w="560" w:type="dxa"/>
            <w:vAlign w:val="bottom"/>
            <w:shd w:val="clear" w:color="auto" w:fill="CCEEFF"/>
          </w:tcPr>
          <w:p>
            <w:pPr>
              <w:spacing w:after="0"/>
              <w:rPr>
                <w:sz w:val="19"/>
                <w:szCs w:val="19"/>
                <w:color w:val="auto"/>
              </w:rPr>
            </w:pPr>
          </w:p>
        </w:tc>
        <w:tc>
          <w:tcPr>
            <w:tcW w:w="190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Non-GAAP operating margin</w:t>
            </w:r>
          </w:p>
        </w:tc>
        <w:tc>
          <w:tcPr>
            <w:tcW w:w="560" w:type="dxa"/>
            <w:vAlign w:val="bottom"/>
            <w:vMerge w:val="restart"/>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360" w:type="dxa"/>
            <w:vAlign w:val="bottom"/>
            <w:vMerge w:val="continue"/>
          </w:tcPr>
          <w:p>
            <w:pPr>
              <w:spacing w:after="0"/>
              <w:rPr>
                <w:sz w:val="18"/>
                <w:szCs w:val="18"/>
                <w:color w:val="auto"/>
              </w:rPr>
            </w:pPr>
          </w:p>
        </w:tc>
        <w:tc>
          <w:tcPr>
            <w:tcW w:w="560" w:type="dxa"/>
            <w:vAlign w:val="bottom"/>
            <w:vMerge w:val="continue"/>
          </w:tcPr>
          <w:p>
            <w:pPr>
              <w:spacing w:after="0"/>
              <w:rPr>
                <w:sz w:val="18"/>
                <w:szCs w:val="18"/>
                <w:color w:val="auto"/>
              </w:rPr>
            </w:pPr>
          </w:p>
        </w:tc>
        <w:tc>
          <w:tcPr>
            <w:tcW w:w="1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2.7%</w:t>
            </w:r>
          </w:p>
        </w:tc>
        <w:tc>
          <w:tcPr>
            <w:tcW w:w="18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2.3%</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w:t>
            </w:r>
          </w:p>
        </w:tc>
        <w:tc>
          <w:tcPr>
            <w:tcW w:w="2460" w:type="dxa"/>
            <w:vAlign w:val="bottom"/>
            <w:gridSpan w:val="3"/>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(10,269)</w:t>
            </w:r>
          </w:p>
        </w:tc>
        <w:tc>
          <w:tcPr>
            <w:tcW w:w="18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b w:val="1"/>
                <w:bCs w:val="1"/>
                <w:color w:val="auto"/>
              </w:rPr>
              <w:t>(42,600)</w:t>
            </w:r>
          </w:p>
        </w:tc>
        <w:tc>
          <w:tcPr>
            <w:tcW w:w="280" w:type="dxa"/>
            <w:vAlign w:val="bottom"/>
          </w:tcPr>
          <w:p>
            <w:pPr>
              <w:spacing w:after="0"/>
              <w:rPr>
                <w:sz w:val="18"/>
                <w:szCs w:val="18"/>
                <w:color w:val="auto"/>
              </w:rPr>
            </w:pPr>
          </w:p>
        </w:tc>
        <w:tc>
          <w:tcPr>
            <w:tcW w:w="12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b w:val="1"/>
                <w:bCs w:val="1"/>
                <w:color w:val="auto"/>
              </w:rPr>
              <w:t>(6,176)</w:t>
            </w:r>
          </w:p>
        </w:tc>
        <w:tc>
          <w:tcPr>
            <w:tcW w:w="0" w:type="dxa"/>
            <w:vAlign w:val="bottom"/>
          </w:tcPr>
          <w:p>
            <w:pPr>
              <w:spacing w:after="0"/>
              <w:rPr>
                <w:sz w:val="1"/>
                <w:szCs w:val="1"/>
                <w:color w:val="auto"/>
              </w:rPr>
            </w:pPr>
          </w:p>
        </w:tc>
      </w:tr>
      <w:tr>
        <w:trPr>
          <w:trHeight w:val="216"/>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Add: Changes in fair value of long-term investments</w:t>
            </w:r>
          </w:p>
        </w:tc>
        <w:tc>
          <w:tcPr>
            <w:tcW w:w="24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43,258</w:t>
            </w:r>
          </w:p>
        </w:tc>
        <w:tc>
          <w:tcPr>
            <w:tcW w:w="188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20,813</w:t>
            </w:r>
          </w:p>
        </w:tc>
        <w:tc>
          <w:tcPr>
            <w:tcW w:w="2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3,017</w:t>
            </w: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w:t>
            </w:r>
          </w:p>
        </w:tc>
        <w:tc>
          <w:tcPr>
            <w:tcW w:w="246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16,648</w:t>
            </w:r>
          </w:p>
        </w:tc>
        <w:tc>
          <w:tcPr>
            <w:tcW w:w="18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10,646</w:t>
            </w:r>
          </w:p>
        </w:tc>
        <w:tc>
          <w:tcPr>
            <w:tcW w:w="2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1,543</w:t>
            </w:r>
          </w:p>
        </w:tc>
        <w:tc>
          <w:tcPr>
            <w:tcW w:w="0" w:type="dxa"/>
            <w:vAlign w:val="bottom"/>
          </w:tcPr>
          <w:p>
            <w:pPr>
              <w:spacing w:after="0"/>
              <w:rPr>
                <w:sz w:val="1"/>
                <w:szCs w:val="1"/>
                <w:color w:val="auto"/>
              </w:rPr>
            </w:pPr>
          </w:p>
        </w:tc>
      </w:tr>
      <w:tr>
        <w:trPr>
          <w:trHeight w:val="209"/>
        </w:trPr>
        <w:tc>
          <w:tcPr>
            <w:tcW w:w="53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w:t>
            </w:r>
          </w:p>
        </w:tc>
        <w:tc>
          <w:tcPr>
            <w:tcW w:w="56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49,637</w:t>
            </w:r>
          </w:p>
        </w:tc>
        <w:tc>
          <w:tcPr>
            <w:tcW w:w="460" w:type="dxa"/>
            <w:vAlign w:val="bottom"/>
            <w:tcBorders>
              <w:top w:val="single" w:sz="8" w:color="CCEEFF"/>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(11,141)</w:t>
            </w:r>
          </w:p>
        </w:tc>
        <w:tc>
          <w:tcPr>
            <w:tcW w:w="4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(1,616)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margin</w:t>
            </w:r>
          </w:p>
        </w:tc>
        <w:tc>
          <w:tcPr>
            <w:tcW w:w="2460" w:type="dxa"/>
            <w:vAlign w:val="bottom"/>
            <w:gridSpan w:val="3"/>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(1.1)%</w:t>
            </w:r>
          </w:p>
        </w:tc>
        <w:tc>
          <w:tcPr>
            <w:tcW w:w="1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(4.6)%</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3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Add: Changes in fair value of long-term investments as a percentage of</w:t>
            </w:r>
          </w:p>
        </w:tc>
        <w:tc>
          <w:tcPr>
            <w:tcW w:w="560" w:type="dxa"/>
            <w:vAlign w:val="bottom"/>
            <w:shd w:val="clear" w:color="auto" w:fill="CCEEFF"/>
          </w:tcPr>
          <w:p>
            <w:pPr>
              <w:spacing w:after="0"/>
              <w:rPr>
                <w:sz w:val="17"/>
                <w:szCs w:val="17"/>
                <w:color w:val="auto"/>
              </w:rPr>
            </w:pPr>
          </w:p>
        </w:tc>
        <w:tc>
          <w:tcPr>
            <w:tcW w:w="144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3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2460" w:type="dxa"/>
            <w:vAlign w:val="bottom"/>
            <w:gridSpan w:val="3"/>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4.5%</w:t>
            </w:r>
          </w:p>
        </w:tc>
        <w:tc>
          <w:tcPr>
            <w:tcW w:w="18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2.2%</w:t>
            </w: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20"/>
                <w:szCs w:val="20"/>
                <w:color w:val="auto"/>
              </w:rPr>
            </w:pPr>
            <w:r>
              <w:rPr>
                <w:rFonts w:ascii="Times New Roman" w:cs="Times New Roman" w:eastAsia="Times New Roman" w:hAnsi="Times New Roman"/>
                <w:sz w:val="18"/>
                <w:szCs w:val="18"/>
                <w:color w:val="auto"/>
              </w:rPr>
              <w:t>Add: Share-based compensation expenses as a percentage of revenues</w:t>
            </w:r>
          </w:p>
        </w:tc>
        <w:tc>
          <w:tcPr>
            <w:tcW w:w="560" w:type="dxa"/>
            <w:vAlign w:val="bottom"/>
          </w:tcPr>
          <w:p>
            <w:pPr>
              <w:spacing w:after="0"/>
              <w:rPr>
                <w:sz w:val="19"/>
                <w:szCs w:val="19"/>
                <w:color w:val="auto"/>
              </w:rPr>
            </w:pPr>
          </w:p>
        </w:tc>
        <w:tc>
          <w:tcPr>
            <w:tcW w:w="19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w:t>
            </w:r>
          </w:p>
        </w:tc>
        <w:tc>
          <w:tcPr>
            <w:tcW w:w="188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60" w:type="dxa"/>
            <w:vAlign w:val="bottom"/>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Non-GAAP net income (loss) margin</w:t>
            </w:r>
          </w:p>
        </w:tc>
        <w:tc>
          <w:tcPr>
            <w:tcW w:w="560" w:type="dxa"/>
            <w:vAlign w:val="bottom"/>
            <w:vMerge w:val="restart"/>
            <w:shd w:val="clear" w:color="auto" w:fill="CCEEFF"/>
          </w:tcPr>
          <w:p>
            <w:pPr>
              <w:spacing w:after="0" w:line="20" w:lineRule="exact"/>
              <w:rPr>
                <w:sz w:val="1"/>
                <w:szCs w:val="1"/>
                <w:color w:val="auto"/>
              </w:rPr>
            </w:pPr>
          </w:p>
        </w:tc>
        <w:tc>
          <w:tcPr>
            <w:tcW w:w="144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460" w:type="dxa"/>
            <w:vAlign w:val="bottom"/>
            <w:shd w:val="clear" w:color="auto" w:fill="CCEEFF"/>
          </w:tcPr>
          <w:p>
            <w:pPr>
              <w:spacing w:after="0" w:line="20" w:lineRule="exact"/>
              <w:rPr>
                <w:sz w:val="1"/>
                <w:szCs w:val="1"/>
                <w:color w:val="auto"/>
              </w:rPr>
            </w:pPr>
          </w:p>
        </w:tc>
        <w:tc>
          <w:tcPr>
            <w:tcW w:w="28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60" w:type="dxa"/>
            <w:vAlign w:val="bottom"/>
            <w:vMerge w:val="continue"/>
            <w:shd w:val="clear" w:color="auto" w:fill="CCEEFF"/>
          </w:tcPr>
          <w:p>
            <w:pPr>
              <w:spacing w:after="0"/>
              <w:rPr>
                <w:sz w:val="18"/>
                <w:szCs w:val="18"/>
                <w:color w:val="auto"/>
              </w:rPr>
            </w:pPr>
          </w:p>
        </w:tc>
        <w:tc>
          <w:tcPr>
            <w:tcW w:w="560" w:type="dxa"/>
            <w:vAlign w:val="bottom"/>
            <w:vMerge w:val="continue"/>
            <w:shd w:val="clear" w:color="auto" w:fill="CCEEFF"/>
          </w:tcPr>
          <w:p>
            <w:pPr>
              <w:spacing w:after="0"/>
              <w:rPr>
                <w:sz w:val="18"/>
                <w:szCs w:val="18"/>
                <w:color w:val="auto"/>
              </w:rPr>
            </w:pPr>
          </w:p>
        </w:tc>
        <w:tc>
          <w:tcPr>
            <w:tcW w:w="1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rPr>
              <w:t>5.1%</w:t>
            </w:r>
          </w:p>
        </w:tc>
        <w:tc>
          <w:tcPr>
            <w:tcW w:w="188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b w:val="1"/>
                <w:bCs w:val="1"/>
                <w:color w:val="auto"/>
              </w:rPr>
              <w:t>(1.3)%</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536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6</w:t>
            </w:r>
          </w:p>
        </w:tc>
        <w:tc>
          <w:tcPr>
            <w:tcW w:w="14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68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SimSun">
    <w:panose1 w:val="02010600030101010101"/>
    <w:charset w:val="86"/>
    <w:family w:val="auto"/>
    <w:pitch w:val="variable"/>
    <w:sig w:usb0="00000003" w:usb1="288F0000" w:usb2="00000006" w:usb3="00000000" w:csb0="00040001" w:csb1="0000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bullet"/>
      <w:start w:val="1"/>
    </w:lvl>
  </w:abstractNum>
  <w:abstractNum w:abstractNumId="2">
    <w:nsid w:val="19495CFF"/>
    <w:multiLevelType w:val="hybridMultilevel"/>
    <w:lvl w:ilvl="0">
      <w:lvlJc w:val="left"/>
      <w:lvlText w:val="1"/>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2026-05-21T06:28:14Z</dcterms:created>
  <dcterms:modified xsi:type="dcterms:W3CDTF">2026-05-21T06:28:14Z</dcterms:modified>
</cp:coreProperties>
</file>