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BingEx Limited</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6, Zhongguancun Dongsheng International Science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Yongtaizhuang North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20" w:type="dxa"/>
            <w:vAlign w:val="bottom"/>
            <w:gridSpan w:val="2"/>
          </w:tcPr>
          <w:p>
            <w:pPr>
              <w:ind w:left="3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9820" w:type="dxa"/>
            <w:vAlign w:val="bottom"/>
            <w:tcBorders>
              <w:bottom w:val="single" w:sz="8" w:color="auto"/>
            </w:tcBorders>
            <w:gridSpan w:val="2"/>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8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Release—BingEx Limited Announces Third Quarter 2025 Financial Results</w:t>
            </w:r>
          </w:p>
        </w:tc>
      </w:tr>
      <w:tr>
        <w:trPr>
          <w:trHeight w:val="453"/>
        </w:trPr>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920" w:type="dxa"/>
            <w:vAlign w:val="bottom"/>
            <w:tcBorders>
              <w:top w:val="single" w:sz="8" w:color="0000EE"/>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Le Tang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 Announces Third Quarter 2025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China, November 19, 2025 </w:t>
      </w:r>
      <w:r>
        <w:rPr>
          <w:rFonts w:ascii="Times New Roman" w:cs="Times New Roman" w:eastAsia="Times New Roman" w:hAnsi="Times New Roman"/>
          <w:sz w:val="18"/>
          <w:szCs w:val="18"/>
          <w:color w:val="auto"/>
        </w:rPr>
        <w:t>– BingEx Limited (the “Company”) (Nasdaq: FLX), a leading on-demand dedicated courier service provider in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(branded as “FlashEx”), today announced its unaudited financial results for the third quarter ended September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Highlights:</w:t>
      </w:r>
    </w:p>
    <w:p>
      <w:pPr>
        <w:spacing w:after="0" w:line="225" w:lineRule="exact"/>
        <w:rPr>
          <w:sz w:val="20"/>
          <w:szCs w:val="20"/>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RMB1,005.4 million (US$141.2 million) in the third quarter of 2025, compared with RMB1,154.8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RMB111.8 million (US$15.7 million) in the third quarter of 2025, compared with RMB130.3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Gross profit margin was 11.1%, compared with 11.3% in the same period of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RMB14.1 million (US$2.0 million) in the third quarter of 2025, compared with RMB46.2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58" w:lineRule="exact"/>
        <w:rPr>
          <w:rFonts w:ascii="Times New Roman" w:cs="Times New Roman" w:eastAsia="Times New Roman" w:hAnsi="Times New Roman"/>
          <w:sz w:val="18"/>
          <w:szCs w:val="18"/>
          <w:color w:val="auto"/>
        </w:rPr>
      </w:pPr>
    </w:p>
    <w:p>
      <w:pPr>
        <w:ind w:left="660" w:hanging="328"/>
        <w:spacing w:after="0" w:line="18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RMB23.7 million (US$3.3 million) in the third quarter of 2025, compared with RMB46.2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of 2024.</w:t>
      </w:r>
    </w:p>
    <w:p>
      <w:pPr>
        <w:spacing w:after="0" w:line="195" w:lineRule="exact"/>
        <w:rPr>
          <w:rFonts w:ascii="Times New Roman" w:cs="Times New Roman" w:eastAsia="Times New Roman" w:hAnsi="Times New Roman"/>
          <w:sz w:val="36"/>
          <w:szCs w:val="36"/>
          <w:color w:val="auto"/>
          <w:vertAlign w:val="superscript"/>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RMB43.7 million (US$6.1 million) in the third quarter of 2025, compared with a net income of RMB23.8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58" w:lineRule="exact"/>
        <w:rPr>
          <w:rFonts w:ascii="Times New Roman" w:cs="Times New Roman" w:eastAsia="Times New Roman" w:hAnsi="Times New Roman"/>
          <w:sz w:val="18"/>
          <w:szCs w:val="18"/>
          <w:color w:val="auto"/>
        </w:rPr>
      </w:pPr>
    </w:p>
    <w:p>
      <w:pPr>
        <w:ind w:left="660" w:hanging="328"/>
        <w:spacing w:after="0" w:line="18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RMB62.6 million (US$8.8 million) in the third quarter of 2025, compared with RMB57.6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95" w:lineRule="exact"/>
        <w:rPr>
          <w:rFonts w:ascii="Times New Roman" w:cs="Times New Roman" w:eastAsia="Times New Roman" w:hAnsi="Times New Roman"/>
          <w:sz w:val="36"/>
          <w:szCs w:val="36"/>
          <w:color w:val="auto"/>
          <w:vertAlign w:val="superscript"/>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(loss) attributable to ordinary shareholders </w:t>
      </w:r>
      <w:r>
        <w:rPr>
          <w:rFonts w:ascii="Times New Roman" w:cs="Times New Roman" w:eastAsia="Times New Roman" w:hAnsi="Times New Roman"/>
          <w:sz w:val="18"/>
          <w:szCs w:val="18"/>
          <w:color w:val="auto"/>
        </w:rPr>
        <w:t>was RMB43.7 million (US$6.1 million) in the third quarter of 2025, compared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of RMB13.4 million in the same period of 2024.</w:t>
      </w:r>
    </w:p>
    <w:p>
      <w:pPr>
        <w:spacing w:after="0" w:line="158" w:lineRule="exact"/>
        <w:rPr>
          <w:rFonts w:ascii="Times New Roman" w:cs="Times New Roman" w:eastAsia="Times New Roman" w:hAnsi="Times New Roman"/>
          <w:sz w:val="18"/>
          <w:szCs w:val="18"/>
          <w:color w:val="auto"/>
        </w:rPr>
      </w:pPr>
    </w:p>
    <w:p>
      <w:pPr>
        <w:ind w:left="660" w:hanging="328"/>
        <w:spacing w:after="0" w:line="18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RMB62.6 million (US$8.8 million) in the third quarter of 2025,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RMB20.4 million in the same period of 2024.</w:t>
      </w:r>
    </w:p>
    <w:p>
      <w:pPr>
        <w:spacing w:after="0" w:line="195"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number of orders fulfilled </w:t>
      </w:r>
      <w:r>
        <w:rPr>
          <w:rFonts w:ascii="Times New Roman" w:cs="Times New Roman" w:eastAsia="Times New Roman" w:hAnsi="Times New Roman"/>
          <w:sz w:val="18"/>
          <w:szCs w:val="18"/>
          <w:color w:val="auto"/>
        </w:rPr>
        <w:t>was 63.2 million in the third quarter of 2025.</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Adam Xue, Founder, Chairman, and Chief Executive Officer of FlashEx, commented, “FlashEx remained focused on strengthening our competitiveness amid volatile market conditions during the third quarter, reinforcing our distinctive position as an on-demand dedicated courier service provider. While seamlessly executing our signature high-efficiency and high-value delivery scenarios, we also expanded into new categories and extended our service touchpoints to meet evolving user and societal needs. Alongside meticulous operations, these efforts have enhanced our brand reputation and user engagement, steadily improving customer loyalty. Looking ahead, FlashEx will remain committed to driving steady growth in our core business while upholding our social responsibilities, delivering sustainable value to all stakeholders.”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Luke Tang, Chief Financial Officer of FlashEx, said, “In the third quarter, we continued to refine our operations while steadily expanding both the reach and scope of our business. At the same time, we remained committed to delivering value to our shareholders. Our shareholders’ equity grew from RMB747.1 million at the end of last year to RMB839.3 million as of the end of September 2025. Furthermore, we continued to return value via share buyback, repurchasing approximately 1.6 million ADSs for an aggregate consideration of approximately US$5.4 million as of November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jc w:val="both"/>
        <w:ind w:firstLine="8"/>
        <w:spacing w:after="0" w:line="210" w:lineRule="auto"/>
        <w:tabs>
          <w:tab w:leader="none" w:pos="128"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non-GAAP net income, non-GAAP net income attributable to ordinary shareholders, non-GAAP operating margin and non-GAAP net income margin are non-GAAP financial measures. For more information on non-GAAP financial measures, please see the section “Use of Non-GAAP Financial Measures” and the table captioned “Reconciliations of GAAP and Non-GAAP Results.”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RMB1,005.4 million (US$141.2 million) in the third quarter of 2025, compared with RMB1,154.8 million in the same period of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driven by a decline in order volume amid intensified market competition.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RMB893.6 million (US$125.5 million), compared with RMB1,024.5 million in the same period of 2024. The decrease was in 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decline in revenues.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RMB111.8 million (US$15.7 million), compared with RMB130.3 million in the same period of 2024. Gross profit margin was 11.1%,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11.3% in the same period 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RMB97.7 million (US$13.7 million), representing an increase of 16.1% from RMB84.2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RMB42.9 million (US$6.0 million), remaining relatively stable compared with RMB43.9 million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RMB37.0 million (US$5.2 million), representing a 105.2% increase from RMB18.1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 The increase was primarily attributable to increases in professional fees, taxes and surcharges, and share-based compensation expenses.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RMB17.7 million (US$2.5 million), representing a 20.1% decrease compared with RMB22.2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2024. The decrease was primarily attributable to a reduction in staff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RMB14.1 million (US$2.0 million), compared with RMB46.2 million in the same period of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RMB23.7 million (US$3.3 million), compared with RMB46.2 million in the same period of 2024.</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RMB9.3 million (US$1.3 million), representing a 72.5% decrease compared with RMB33.8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period of 2024. The decrease was primarily attributable to the reduction in losses from the fair value measurement of long-term investments.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was RMB2.5 million (US$0.3 million), compared with RMB5.8 million in the same period of 2024. The decrease was mainly due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the amount of government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RMB43.7 million (US$6.1 million), compared with RMB23.8 million in the same period of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RMB62.6 million (US$8.8 million), compared with RMB57.6 million in the same period of 2024.</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ordinary shareholders </w:t>
      </w:r>
      <w:r>
        <w:rPr>
          <w:rFonts w:ascii="Times New Roman" w:cs="Times New Roman" w:eastAsia="Times New Roman" w:hAnsi="Times New Roman"/>
          <w:sz w:val="18"/>
          <w:szCs w:val="18"/>
          <w:color w:val="auto"/>
        </w:rPr>
        <w:t>was RMB43.7 million (US$6.1 million), compared with a net loss of RMB13.4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2024.</w:t>
      </w:r>
    </w:p>
    <w:p>
      <w:pPr>
        <w:spacing w:after="0" w:line="15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RMB62.6 million (US$8.8 million), compared with RMB20.4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net earnings per ordinary share </w:t>
      </w:r>
      <w:r>
        <w:rPr>
          <w:rFonts w:ascii="Times New Roman" w:cs="Times New Roman" w:eastAsia="Times New Roman" w:hAnsi="Times New Roman"/>
          <w:sz w:val="18"/>
          <w:szCs w:val="18"/>
          <w:color w:val="auto"/>
        </w:rPr>
        <w:t>was RMB0.21 (US$0.03).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net earnings per ordinary share </w:t>
      </w:r>
      <w:r>
        <w:rPr>
          <w:rFonts w:ascii="Times New Roman" w:cs="Times New Roman" w:eastAsia="Times New Roman" w:hAnsi="Times New Roman"/>
          <w:sz w:val="18"/>
          <w:szCs w:val="18"/>
          <w:color w:val="auto"/>
        </w:rPr>
        <w:t>was RMB0.21 (US$0.03)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September 30, 2025, </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 xml:space="preserve"> were RMB877.9 million (US$123.3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Share Repurchase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Company’s March 2025 share repurchase program, effective through April 2026 with a maximum amount of up to US$30 million, as of November 18, 2025, the Company had repurchased a total of approximately 1.6 million ADSs in the open market with cash for an aggregate consideration of approximately US$5.4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Wednesday, November 19, 2025 at 8:00PM Beijing Time (7:00AM U.S. Eastern Time) to discuss the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required to pre-register for the conference call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https://register-conf.media-server.com/register/BIa36540ed44ad49199bc2df7b55271439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registration, participants will receive an email containing participant dial-in numbers and a personal PIN to join the conference call.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 and a replay of the webcast will be available following the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BingEx Limited</w:t>
      </w:r>
    </w:p>
    <w:p>
      <w:pPr>
        <w:spacing w:after="0" w:line="229"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BingEx Limited (Nasdaq: FLX) is a pioneer in China in providing on-demand dedicated courier services for individual and business customers with superior time certainty, delivery safety and service quality. The company brands its services as “FlashEx,” or “</w:t>
      </w:r>
      <w:r>
        <w:rPr>
          <w:rFonts w:ascii="SimSun" w:cs="SimSun" w:eastAsia="SimSun" w:hAnsi="SimSun"/>
          <w:sz w:val="18"/>
          <w:szCs w:val="18"/>
          <w:color w:val="auto"/>
        </w:rPr>
        <w:t>闪送</w:t>
      </w:r>
      <w:r>
        <w:rPr>
          <w:rFonts w:ascii="Times New Roman" w:cs="Times New Roman" w:eastAsia="Times New Roman" w:hAnsi="Times New Roman"/>
          <w:sz w:val="18"/>
          <w:szCs w:val="18"/>
          <w:color w:val="auto"/>
        </w:rPr>
        <w:t>”. FlashEx has become synonymous with on-demand dedicated courier services in China. With a mission to make people’s lives better through its services, FlashEx remains dedicated to consistently providing a superior customer experience and offering a unique value proposition to all participants in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http://ir.ishansong.com.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our financial results presented in accordance with U.S. GAAP, we use non-GAAP financial measures, namely non-GAAP income from operations, non-GAAP net income, non-GAAP net income attributable to ordinary shareholders, non-GAAP operating margin and non-GAAP net income margin, as supplemental measures to evaluate our operating results and make financial and operational decisions. Non-GAAP income from operations represents income (loss) from operations excluding share-based compensation expenses. Non-GAAP operating margin is equal to non-GAAP income from operations divided by revenues. Non-GAAP net income represents net income excluding changes in fair value of long-term investments and share-based compensation expenses. Non-GAAP net income margin is equal to non-GAAP net income divided by revenues. Non-GAAP net income attributable to ordinary shareholders represents net income attributable to ordinary shareholders excluding changes in fair value of long-term investments and share-based compensation expenses.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excluding the impact of changes in fair value of long-term investments and share-based compensation expenses, which are non-cash charges, we believe that non-GAAP financial measures help identify underlying trends in our business that could otherwise be distorted by the effect of certain earnings or losses that we include in results based on U.S. GAAP. We believe that non-GAAP financial measures provide useful information about our operating results, enhance the overall understanding of our past performance and future prospects and allow for greater visibility into key metrics used by our management in its financial and operational decision-making.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non-GAAP financial measures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our non-GAAP results to our U.S. GAAP financial measures are set forth in tables at the end of this earnings release, which provide more details on the non-GAAP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RMB7.1190 to US$1.00, the exchange rate set forth in the H.10 statistical release of the Board of Governors of the Federal Reserve System as of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BingEx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ir@ishansong.com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312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20"/>
                <w:szCs w:val="20"/>
                <w:color w:val="auto"/>
              </w:rPr>
            </w:pPr>
          </w:p>
        </w:tc>
        <w:tc>
          <w:tcPr>
            <w:tcW w:w="2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224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592,358</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628,631</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88,303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46,735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1,928</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153,910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247,306</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34,739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16,893</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26,276</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48,553</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46,726</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858,449</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950,867</w:t>
            </w:r>
          </w:p>
        </w:tc>
        <w:tc>
          <w:tcPr>
            <w:tcW w:w="3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324,110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288,085</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40,467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3,687</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2,369</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44,577</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27,463</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4,600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3,105</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376,974</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321,022</w:t>
            </w:r>
          </w:p>
        </w:tc>
        <w:tc>
          <w:tcPr>
            <w:tcW w:w="3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1,271,889</w:t>
            </w: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223,391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208,770</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56,768</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65,485</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13,091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9,749</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165,714</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133,405</w:t>
            </w: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458,964</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417,409</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29,395</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15,194</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29,395</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15,194</w:t>
            </w:r>
          </w:p>
        </w:tc>
        <w:tc>
          <w:tcPr>
            <w:tcW w:w="3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488,359</w:t>
            </w:r>
          </w:p>
        </w:tc>
        <w:tc>
          <w:tcPr>
            <w:tcW w:w="3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432,603</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747,064</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839,286</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1,271,889</w:t>
            </w: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40" w:type="dxa"/>
            <w:vAlign w:val="bottom"/>
            <w:gridSpan w:val="6"/>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560" w:type="dxa"/>
            <w:vAlign w:val="bottom"/>
            <w:gridSpan w:val="6"/>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32"/>
        </w:trPr>
        <w:tc>
          <w:tcPr>
            <w:tcW w:w="39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194"/>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1,154,788</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1,005,442</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141,234</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3,439,284</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2,990,762</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420,110</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(1,024,457)</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(893,636)</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(125,528)</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(3,051,636)</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(2,629,590)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(369,376)</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130,331</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111,806</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15,706</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387,648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361,172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(43,931)</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(42,918)</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(6,029)</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(133,669)</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(140,446)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(18,058)</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(37,049)</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(5,204)</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(63,563)</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(110,898)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(15,578)</w:t>
            </w: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(22,171)</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(17,713)</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(2,488)</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(63,477)</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(66,429)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r>
      <w:tr>
        <w:trPr>
          <w:trHeight w:val="20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(84,160</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(97,680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(260,709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(317,773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(44,637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46,171</w:t>
            </w: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14,126</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1,985</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126,939</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43,399</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6,097</w:t>
            </w:r>
          </w:p>
        </w:tc>
        <w:tc>
          <w:tcPr>
            <w:tcW w:w="100" w:type="dxa"/>
            <w:vAlign w:val="bottom"/>
            <w:shd w:val="clear" w:color="auto" w:fill="CCEEFF"/>
          </w:tcPr>
          <w:p>
            <w:pPr>
              <w:spacing w:after="0"/>
              <w:rPr>
                <w:sz w:val="18"/>
                <w:szCs w:val="18"/>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long-term investments</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(33,805)</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(9,290)</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(1,305)</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(33,686)</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(32,009)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1,004</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33,154</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4,657</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3,441</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51,250</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7,199</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5,823</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2,484</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349</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34,351</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13,625</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1,914</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23,829</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43,784</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6,151</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147,580</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87,045</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12,228</w:t>
            </w: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23,829</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43,744</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6,145</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147,512</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86,970</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12,217</w:t>
            </w:r>
          </w:p>
        </w:tc>
        <w:tc>
          <w:tcPr>
            <w:tcW w:w="100" w:type="dxa"/>
            <w:vAlign w:val="bottom"/>
          </w:tcPr>
          <w:p>
            <w:pPr>
              <w:spacing w:after="0"/>
              <w:rPr>
                <w:sz w:val="18"/>
                <w:szCs w:val="18"/>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redemption value</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(37,253)</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(110,827)</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3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(loss)  attributable  to  ordinary</w:t>
            </w: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(13,424)</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43,744</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6,145</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36,685</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86,970</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12,217</w:t>
            </w: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ordinary share</w:t>
            </w: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0.21</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0.03</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0.42</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0.21</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0.03</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0.19</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0.42</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0.06</w:t>
            </w: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used in computing net earnings per ordinary</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72,000,000</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206,831,247</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206,831,247</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72,000,000</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207,908,108</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207,908,108</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72,000,000</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208,081,061</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208,081,061</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72,000,000</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209,341,434</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209,341,434</w:t>
            </w:r>
          </w:p>
        </w:tc>
      </w:tr>
      <w:tr>
        <w:trPr>
          <w:trHeight w:val="414"/>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7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0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46,171</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14,126</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1,985</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126,939</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43,399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6,097</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9,557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38,835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46,171</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23,683</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3,327</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126,939</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82,234</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 expenses as a</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revenues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vMerge w:val="continue"/>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23,829</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43,744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6,145</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147,512</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86,970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12,217</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 long-term</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33,805</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1,305</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33,686</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32,009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4,496</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9,557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38,835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57,634</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62,591</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181,198</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157,814</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 long-term</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as a percentage of revenues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 expenses as a</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margin</w:t>
            </w: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ordinary</w:t>
            </w: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(13,424)</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43,744</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6,145</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36,685</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86,970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12,217</w:t>
            </w:r>
          </w:p>
        </w:tc>
        <w:tc>
          <w:tcPr>
            <w:tcW w:w="0" w:type="dxa"/>
            <w:vAlign w:val="bottom"/>
          </w:tcPr>
          <w:p>
            <w:pPr>
              <w:spacing w:after="0"/>
              <w:rPr>
                <w:sz w:val="1"/>
                <w:szCs w:val="1"/>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 long-term</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33,805</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9,290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1,305</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33,686</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32,009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9,557</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38,835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174"/>
        </w:trPr>
        <w:tc>
          <w:tcPr>
            <w:tcW w:w="37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attributable to ordinary</w:t>
            </w: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20,381</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62,591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8,792</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70,371</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157,814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22,168</w:t>
            </w: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2025-11-19T05:10:50Z</dcterms:created>
  <dcterms:modified xsi:type="dcterms:W3CDTF">2025-11-19T05:10:50Z</dcterms:modified>
</cp:coreProperties>
</file>