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165100</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141605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Release—BingEx Limited Announces First Quarter 2025 Financial Results</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4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 Tang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 Tang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 Announces First Quarter 2025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China, May 22, 2025 </w:t>
      </w:r>
      <w:r>
        <w:rPr>
          <w:rFonts w:ascii="Times New Roman" w:cs="Times New Roman" w:eastAsia="Times New Roman" w:hAnsi="Times New Roman"/>
          <w:sz w:val="18"/>
          <w:szCs w:val="18"/>
          <w:color w:val="auto"/>
        </w:rPr>
        <w:t>– BingEx Limited (the “Company”) (Nasdaq: FLX), a leading on-demand dedicated courier service provider in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as “FlashEx”), today announced its unaudited financial results for the first quarter ended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RMB960.8 million (US$132.4 million) in the first quarter of 2025, compared to RMB1,107.7 million in the same period of 2024.</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RMB126.7 million (US$17.5 million) in the first quarter of 2025, compared to RMB130.3 million in the same period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margin reached 13.2%, improving from 11.8% in the same period of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RMB10.0 million (US$1.4 million) in the first quarter of 2025, compared to RMB38.4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8" w:lineRule="exact"/>
        <w:rPr>
          <w:rFonts w:ascii="Times New Roman" w:cs="Times New Roman" w:eastAsia="Times New Roman" w:hAnsi="Times New Roman"/>
          <w:sz w:val="18"/>
          <w:szCs w:val="18"/>
          <w:color w:val="auto"/>
        </w:rPr>
      </w:pPr>
    </w:p>
    <w:p>
      <w:pPr>
        <w:ind w:left="66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RMB26.6 million (US$3.7 million) in the first quarter of 2025, compared to RMB38.4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2024.</w:t>
      </w:r>
    </w:p>
    <w:p>
      <w:pPr>
        <w:spacing w:after="0" w:line="195" w:lineRule="exact"/>
        <w:rPr>
          <w:rFonts w:ascii="Times New Roman" w:cs="Times New Roman" w:eastAsia="Times New Roman" w:hAnsi="Times New Roman"/>
          <w:sz w:val="36"/>
          <w:szCs w:val="36"/>
          <w:color w:val="auto"/>
          <w:vertAlign w:val="superscript"/>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RMB10.3 million (US$1.4 million) in the first quarter of 2025, compared to a net income of RMB64.6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8" w:lineRule="exact"/>
        <w:rPr>
          <w:rFonts w:ascii="Times New Roman" w:cs="Times New Roman" w:eastAsia="Times New Roman" w:hAnsi="Times New Roman"/>
          <w:sz w:val="18"/>
          <w:szCs w:val="18"/>
          <w:color w:val="auto"/>
        </w:rPr>
      </w:pPr>
    </w:p>
    <w:p>
      <w:pPr>
        <w:ind w:left="66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RMB49.6 million (US$6.8 million) in the first quarter of 2025, compared to RMB64.6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95"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number of orders fulfilled </w:t>
      </w:r>
      <w:r>
        <w:rPr>
          <w:rFonts w:ascii="Times New Roman" w:cs="Times New Roman" w:eastAsia="Times New Roman" w:hAnsi="Times New Roman"/>
          <w:sz w:val="18"/>
          <w:szCs w:val="18"/>
          <w:color w:val="auto"/>
        </w:rPr>
        <w:t>was 58.0 million in the first quarter of 2025.</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Adam Xue, Founder, Chairman, and Chief Executive Officer, commented, “We continued to sharpen our strategic focus on core user base and core value, further enhancing our service quality and capabilities. In the first quarter, we adopted user-centric approaches, deepening our understanding of our users’ diverse needs and preferences, while expanding into new service scenarios that meet their needs. Meanwhile, we explored innovative cross-industry collaborations to boost FlashEx’s brand awareness and effectively engage our target audience. These efforts drove a steady expansion of our service footprint, notably by deepening our market penetration in lower-tier cities. Looking ahead, we remain committed to advancing our on-demand, dedicated courier model and the unique value we offer, delivering a more convenient, more reliable experience to a broader user base.”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Luke Tang, Chief Financial Officer of FlashEx, said, “We delivered resilient results in the first quarter. Through continued prudent financial management, we improved our gross profit margin by 1.4 percentage points year-over-year to 13.2% and maintained a strong cash position, ending the quarter with RMB787.2 million. We will continue to focus on unlocking the full potential of our brand and differentiated business model, while enhancing operational efficiency to drive the Company’s long-term, sustainable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RMB960.8 million (US$132.4 million) in the first quarter of 2025, compared with RMB1,107.7 million in the same period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driven by a decline in order volume amid intensified market competition.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RMB834.1 million (US$114.9 million), compared with RMB977.4 million in the same period of 2024. The decrease was in line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decline in revenues.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RMB126.7 million (US$17.5 million), compared with RMB130.3 million in the same period of 2024. Gross profit margin was 13.2%,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11.8%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jc w:val="both"/>
        <w:ind w:firstLine="8"/>
        <w:spacing w:after="0" w:line="210"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non-GAAP net income, non-GAAP operating margin and non-GAAP net income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RMB116.7 million (US$16.1 million), representing an increase of 27.0% from RMB91.9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RMB49.3 million (US$6.8 million), representing a 10.0% increase from RMB44.9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primarily attributable to increases in share-based compensation expenses and staff costs, partially offset by a decrease in advertising expenses.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RMB37.9 million (US$5.2 million), representing an 46.9% increase from RMB25.8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 The increase was primarily attributable to increases in professional fees and share-based compensation expenses.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RMB29.5 million (US$4.1 million), representing a 38.8% increase from RMB21.2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The increase was primarily attributable to an increase in share-based compensation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RMB10.0 million (US$1.4 million), compared with RMB38.4 million in the same period of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RMB26.6 million (US$3.7 million), compared with RMB38.4 million in the same period of 2024.</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RMB43.3 million (US$6.0 million), primarily reflecting losses in the fair value measurement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investments.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was RMB9.9 million (US$1.4 million), compared with RMB19.0 million in the same period of 2024. The decrease was mainly due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the amount of government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RMB10.3 million (US$1.4 million). Net income was RMB64.6 million in the same period of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RMB49.6 million (US$6.8 million), compared with RMB64.6 million in the same period of 2024.</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ordinary shareholders </w:t>
      </w:r>
      <w:r>
        <w:rPr>
          <w:rFonts w:ascii="Times New Roman" w:cs="Times New Roman" w:eastAsia="Times New Roman" w:hAnsi="Times New Roman"/>
          <w:sz w:val="18"/>
          <w:szCs w:val="18"/>
          <w:color w:val="auto"/>
        </w:rPr>
        <w:t>was RMB10.3 million (US$1.4 million). Net income attributable to ordinary shareholders was RMB27.8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and diluted net loss per ordinary share </w:t>
      </w:r>
      <w:r>
        <w:rPr>
          <w:rFonts w:ascii="Times New Roman" w:cs="Times New Roman" w:eastAsia="Times New Roman" w:hAnsi="Times New Roman"/>
          <w:sz w:val="18"/>
          <w:szCs w:val="18"/>
          <w:color w:val="auto"/>
        </w:rPr>
        <w:t>was RMB0.05 (US$0.01).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March 31, 2025, </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 xml:space="preserve"> were RMB787.2 million (US$108.5 million).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Thursday, May 22, 2025 at 8:00PM Beijing Time (8:00AM U.S. Eastern Time) to discuss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required to pre-register for the conference call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https://register-conf.media-server.com/register/BIf746a9c2a4894900be333315bee147bb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registration, participants will receive an email containing participant dial-in numbers and a personal PIN to join the conference call.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 and a replay of the webcast will be available following the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229"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measures, namely non-GAAP income from operations, non-GAAP net income, non-GAAP operating margin and non-GAAP net income margin, as supplemental measures to evaluate our operating results and make financial and operational decisions. Non-GAAP income from operations represents income (loss) from operations excluding share-based compensation expenses. Non-GAAP operating margin is equal to non-GAAP income from operations divided by revenues. Non-GAAP net income represents net income excluding changes in fair value of long-term investments and share-based compensation expenses. Non-GAAP net income margin is equal to non-GAAP net income divided by revenues.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excluding the impact of changes in fair value of long-term investments and share-based compensation expenses,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 the overall understanding of our past performance and future prospects and allow for greater visibility into key metrics used by our management in its financial and operational decision-making.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our non-GAAP results to our U.S. GAAP financial measures are set forth in tables at the end of this earnings release, which provide more details on the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RMB7.2567 to US$1.00, the exchange rate set forth in the H.10 statistical release of the Board of Governors of the Federal Reserve System as of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Safe Harbor Statement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FlashEx@thepiacentegroup.com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1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312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20"/>
                <w:szCs w:val="20"/>
                <w:color w:val="auto"/>
              </w:rPr>
            </w:pPr>
          </w:p>
        </w:tc>
        <w:tc>
          <w:tcPr>
            <w:tcW w:w="2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218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592,358</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531,992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73,310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46,735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17,055</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153,910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238,165</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16,893</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21,311</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48,553</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29,856</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858,449</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838,379</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324,110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280,734</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38,686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3,687</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3,227</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44,577</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41,269</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4,600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4,602</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376,974</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329,832</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1,168,211</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223,391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191,489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56,768</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51,613</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13,091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13,154</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165,714</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133,178</w:t>
            </w:r>
          </w:p>
        </w:tc>
        <w:tc>
          <w:tcPr>
            <w:tcW w:w="4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18,352</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458,964</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389,434</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29,395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26,459</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29,395</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26,459</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488,359</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415,893</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747,064</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752,318</w:t>
            </w: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1,168,211</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4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18"/>
                <w:szCs w:val="18"/>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1,107,748</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960,762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132,397</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3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(977,421)</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(834,088)</w:t>
            </w: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(114,940)</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130,327</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126,674</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3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(44,864)</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(49,334)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(25,801)</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(37,897)</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3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(21,234)</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(29,482)</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(91,899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38,428</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9,961</w:t>
            </w: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100" w:type="dxa"/>
            <w:vAlign w:val="bottom"/>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long-term investments</w:t>
            </w:r>
          </w:p>
        </w:tc>
        <w:tc>
          <w:tcPr>
            <w:tcW w:w="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(43,258)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3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1,100</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8,912</w:t>
            </w:r>
          </w:p>
        </w:tc>
        <w:tc>
          <w:tcPr>
            <w:tcW w:w="3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1,228</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3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19,030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9,860</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1,359</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6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64,568</w:t>
            </w:r>
          </w:p>
        </w:tc>
        <w:tc>
          <w:tcPr>
            <w:tcW w:w="3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(10,234)</w:t>
            </w: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10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6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64,568</w:t>
            </w:r>
          </w:p>
        </w:tc>
        <w:tc>
          <w:tcPr>
            <w:tcW w:w="3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(10,269)</w:t>
            </w: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10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shares to redemption value</w:t>
            </w:r>
          </w:p>
        </w:tc>
        <w:tc>
          <w:tcPr>
            <w:tcW w:w="23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(36,775)</w:t>
            </w:r>
          </w:p>
        </w:tc>
        <w:tc>
          <w:tcPr>
            <w:tcW w:w="21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ordinary shareholders</w:t>
            </w:r>
          </w:p>
        </w:tc>
        <w:tc>
          <w:tcPr>
            <w:tcW w:w="56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c>
          <w:tcPr>
            <w:tcW w:w="34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(10,269</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(loss) per ordinary share</w:t>
            </w:r>
          </w:p>
        </w:tc>
        <w:tc>
          <w:tcPr>
            <w:tcW w:w="5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Basic and diluted — Class A and B</w:t>
            </w:r>
          </w:p>
        </w:tc>
        <w:tc>
          <w:tcPr>
            <w:tcW w:w="23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0.14</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(0.05)</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194"/>
        </w:trPr>
        <w:tc>
          <w:tcPr>
            <w:tcW w:w="5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used in computing net</w:t>
            </w:r>
          </w:p>
        </w:tc>
        <w:tc>
          <w:tcPr>
            <w:tcW w:w="5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ordinary share</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Basic and diluted – Class A</w:t>
            </w:r>
          </w:p>
        </w:tc>
        <w:tc>
          <w:tcPr>
            <w:tcW w:w="23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26,422,222</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162,842,256</w:t>
            </w:r>
          </w:p>
        </w:tc>
        <w:tc>
          <w:tcPr>
            <w:tcW w:w="34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162,842,256</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 and diluted – Class B</w:t>
            </w:r>
          </w:p>
        </w:tc>
        <w:tc>
          <w:tcPr>
            <w:tcW w:w="23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45,577,778</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45,577,778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45,577,778</w:t>
            </w:r>
          </w:p>
        </w:tc>
      </w:tr>
      <w:tr>
        <w:trPr>
          <w:trHeight w:val="432"/>
        </w:trPr>
        <w:tc>
          <w:tcPr>
            <w:tcW w:w="5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38,428</w:t>
            </w:r>
          </w:p>
        </w:tc>
        <w:tc>
          <w:tcPr>
            <w:tcW w:w="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9,961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1,374</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16,648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38,428</w:t>
            </w: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26,609</w:t>
            </w:r>
          </w:p>
        </w:tc>
        <w:tc>
          <w:tcPr>
            <w:tcW w:w="4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w:t>
            </w:r>
          </w:p>
        </w:tc>
        <w:tc>
          <w:tcPr>
            <w:tcW w:w="9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 as a percentage of revenues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w:t>
            </w:r>
          </w:p>
        </w:tc>
        <w:tc>
          <w:tcPr>
            <w:tcW w:w="9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64,568</w:t>
            </w:r>
          </w:p>
        </w:tc>
        <w:tc>
          <w:tcPr>
            <w:tcW w:w="1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(10,269)</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(1,414)</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Changes in fair value of long-term investments</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43,258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16,648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64,568</w:t>
            </w: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49,637</w:t>
            </w:r>
          </w:p>
        </w:tc>
        <w:tc>
          <w:tcPr>
            <w:tcW w:w="4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w:t>
            </w:r>
          </w:p>
        </w:tc>
        <w:tc>
          <w:tcPr>
            <w:tcW w:w="9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 long-term investments as a percentage of</w:t>
            </w: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 as a percentage of revenues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margin</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w:t>
            </w:r>
          </w:p>
        </w:tc>
        <w:tc>
          <w:tcPr>
            <w:tcW w:w="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2025-05-22T05:13:52Z</dcterms:created>
  <dcterms:modified xsi:type="dcterms:W3CDTF">2025-05-22T05:13:52Z</dcterms:modified>
</cp:coreProperties>
</file>