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BingEx Limited</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Building 6, Zhongguancun Dongsheng International Science Park</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1 Yongtaizhuang North Road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Haidian District, Beijing 100192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20" w:type="dxa"/>
            <w:vAlign w:val="bottom"/>
          </w:tcPr>
          <w:p>
            <w:pPr>
              <w:spacing w:after="0"/>
              <w:rPr>
                <w:sz w:val="24"/>
                <w:szCs w:val="24"/>
                <w:color w:val="auto"/>
              </w:rPr>
            </w:pPr>
          </w:p>
        </w:tc>
        <w:tc>
          <w:tcPr>
            <w:tcW w:w="10140" w:type="dxa"/>
            <w:vAlign w:val="bottom"/>
            <w:tcBorders>
              <w:bottom w:val="single" w:sz="8" w:color="auto"/>
            </w:tcBorders>
            <w:gridSpan w:val="2"/>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80" w:type="dxa"/>
            <w:vAlign w:val="bottom"/>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Release—BingEx Limited Announces Fourth Quarter and Fiscal Year 2025 Financial Results</w:t>
            </w:r>
          </w:p>
        </w:tc>
      </w:tr>
      <w:tr>
        <w:trPr>
          <w:trHeight w:val="453"/>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160" w:type="dxa"/>
            <w:vAlign w:val="bottom"/>
            <w:tcBorders>
              <w:top w:val="single" w:sz="8" w:color="0000EE"/>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Le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Le Tang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 Announces Fourth Quarter and Fiscal Year 2025 Financial Results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Beijing, China, March 17, 2026 </w:t>
      </w:r>
      <w:r>
        <w:rPr>
          <w:rFonts w:ascii="Times New Roman" w:cs="Times New Roman" w:eastAsia="Times New Roman" w:hAnsi="Times New Roman"/>
          <w:sz w:val="18"/>
          <w:szCs w:val="18"/>
          <w:color w:val="auto"/>
        </w:rPr>
        <w:t>– BingEx Limited (the “Company”) (Nasdaq: FLX), a leading on-demand dedicated courier service provider in China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(branded as “FlashEx”), today announced its unaudited financial results for the fourth quarter and fiscal year ended 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Fiscal Year 2025 Highlights:</w:t>
      </w:r>
    </w:p>
    <w:p>
      <w:pPr>
        <w:spacing w:after="0" w:line="225" w:lineRule="exact"/>
        <w:rPr>
          <w:sz w:val="20"/>
          <w:szCs w:val="20"/>
          <w:color w:val="auto"/>
        </w:rPr>
      </w:pPr>
    </w:p>
    <w:p>
      <w:pPr>
        <w:jc w:val="both"/>
        <w:ind w:left="66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RMB1,001.3 million (US$143.2 million) in the fourth quarter of 2025, compared with RMB1,028.9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For the year ended December 31, 2025, revenues were RMB3,992.1 million (US$570.9 million), compared to RMB4,468.2 million in 2024.</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RMB107.9 million (US$15.4 million) in the fourth quarter of 2025, compared with RMB102.9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Gross profit margin was 10.8%, improving from 10.0% in the same period of 2024. For the year ended December 31, 2025, gross profit was RMB469.1 million (US$67.1 million), compared with RMB490.6 million in 2024. Gross profit margin was 11.8%, improving from 11.0% in 2024.</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was RMB2.9 million (US$0.4 million) in the fourth quarter of 2025, compared with a loss from operations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RMB152.7 million in the same period of 2024. For the year ended December 31, 2025, income from operations was RMB46.3 million (US$6.6 million), compared with a loss from operations of RMB25.8 million in 2024.</w:t>
      </w:r>
    </w:p>
    <w:p>
      <w:pPr>
        <w:spacing w:after="0" w:line="174" w:lineRule="exact"/>
        <w:rPr>
          <w:rFonts w:ascii="Times New Roman" w:cs="Times New Roman" w:eastAsia="Times New Roman" w:hAnsi="Times New Roman"/>
          <w:sz w:val="18"/>
          <w:szCs w:val="18"/>
          <w:color w:val="auto"/>
        </w:rPr>
      </w:pPr>
    </w:p>
    <w:p>
      <w:pPr>
        <w:jc w:val="both"/>
        <w:ind w:left="660" w:hanging="328"/>
        <w:spacing w:after="0" w:line="204"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income from operations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RMB10.5 million (US$1.5 million) in the fourth quarter of 2025, compared with RMB7.3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period of 2024. For the year ended December 31, 2025, non-GAAP income from operations was RMB92.7 million (US$13.3 million), compared with RMB134.3 million in 2024.</w:t>
      </w:r>
    </w:p>
    <w:p>
      <w:pPr>
        <w:spacing w:after="0" w:line="197" w:lineRule="exact"/>
        <w:rPr>
          <w:rFonts w:ascii="Times New Roman" w:cs="Times New Roman" w:eastAsia="Times New Roman" w:hAnsi="Times New Roman"/>
          <w:sz w:val="36"/>
          <w:szCs w:val="36"/>
          <w:color w:val="auto"/>
          <w:vertAlign w:val="superscript"/>
        </w:rPr>
      </w:pPr>
    </w:p>
    <w:p>
      <w:pPr>
        <w:jc w:val="both"/>
        <w:ind w:left="660" w:hanging="328"/>
        <w:spacing w:after="0" w:line="26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RMB22.5 million (US$3.2 million) in the fourth quarter of 2025, compared with a net loss of RMB294.0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2024. For the year ended December 31, 2025, net income was RMB109.4 million (US$15.6 million), compared with a net loss of RMB146.5 million in 2024.</w:t>
      </w:r>
    </w:p>
    <w:p>
      <w:pPr>
        <w:spacing w:after="0" w:line="174" w:lineRule="exact"/>
        <w:rPr>
          <w:rFonts w:ascii="Times New Roman" w:cs="Times New Roman" w:eastAsia="Times New Roman" w:hAnsi="Times New Roman"/>
          <w:sz w:val="18"/>
          <w:szCs w:val="18"/>
          <w:color w:val="auto"/>
        </w:rPr>
      </w:pPr>
    </w:p>
    <w:p>
      <w:pPr>
        <w:jc w:val="both"/>
        <w:ind w:left="660" w:hanging="328"/>
        <w:spacing w:after="0" w:line="204"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RMB41.6 million (US$5.9 million) in the fourth quarter of 2025, compared with RMB20.1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2024. For the year ended December 31, 2025, non-GAAP net income was RMB199.4 million (US$28.5 million), compared with RMB201.3 million in 2024.</w:t>
      </w:r>
    </w:p>
    <w:p>
      <w:pPr>
        <w:spacing w:after="0" w:line="197" w:lineRule="exact"/>
        <w:rPr>
          <w:rFonts w:ascii="Times New Roman" w:cs="Times New Roman" w:eastAsia="Times New Roman" w:hAnsi="Times New Roman"/>
          <w:sz w:val="36"/>
          <w:szCs w:val="36"/>
          <w:color w:val="auto"/>
          <w:vertAlign w:val="superscript"/>
        </w:rPr>
      </w:pPr>
    </w:p>
    <w:p>
      <w:pPr>
        <w:jc w:val="both"/>
        <w:ind w:left="660" w:hanging="328"/>
        <w:spacing w:after="0" w:line="26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ordinary shareholders </w:t>
      </w:r>
      <w:r>
        <w:rPr>
          <w:rFonts w:ascii="Times New Roman" w:cs="Times New Roman" w:eastAsia="Times New Roman" w:hAnsi="Times New Roman"/>
          <w:sz w:val="18"/>
          <w:szCs w:val="18"/>
          <w:color w:val="auto"/>
        </w:rPr>
        <w:t>was RMB22.5 million (US$3.2 million) in the fourth quarter of 2025, compared with a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attributable to ordinary shareholders of RMB296.8 million in the same period of 2024. For the year ended December 31, 2025, net income attributable to ordinary shareholders was RMB109.4 million (US$15.6 million), compared with a net loss attributable to ordinary shareholders of RMB260.1 million in 2024.</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04"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net income attributable to ordinary shareholders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RMB41.6 million (US$5.9 million) in the fourth quarter of 2025,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RMB17.2 million in the same period of 2024. For the year ended December 31, 2025, non-GAAP net income attributable to ordinary shareholders was RMB199.4 million (US$28.5 million), compared with RMB87.6 million in 2024.</w:t>
      </w:r>
    </w:p>
    <w:p>
      <w:pPr>
        <w:spacing w:after="0" w:line="197" w:lineRule="exact"/>
        <w:rPr>
          <w:rFonts w:ascii="Times New Roman" w:cs="Times New Roman" w:eastAsia="Times New Roman" w:hAnsi="Times New Roman"/>
          <w:sz w:val="36"/>
          <w:szCs w:val="36"/>
          <w:color w:val="auto"/>
          <w:vertAlign w:val="superscript"/>
        </w:rPr>
      </w:pPr>
    </w:p>
    <w:p>
      <w:pPr>
        <w:ind w:left="660" w:right="2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number of orders fulfilled </w:t>
      </w:r>
      <w:r>
        <w:rPr>
          <w:rFonts w:ascii="Times New Roman" w:cs="Times New Roman" w:eastAsia="Times New Roman" w:hAnsi="Times New Roman"/>
          <w:sz w:val="18"/>
          <w:szCs w:val="18"/>
          <w:color w:val="auto"/>
        </w:rPr>
        <w:t>was 63.2 million in the fourth quarter of 2025. For the year ended December 31, 2025, total fulfilled 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amounted to 249.2 million.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Adam Xue, Founder, Chairman, and Chief Executive Officer of FlashEx, commented, “In 2025, we remained focused on strengthening FlashEx by improving service quality and expanding the scenarios in which our services can create value. At the same time, we actively embraced AI technologies to enhance efficiency across customer service, operations, and product development. As we enter 2026, we will continue to strengthen our signature on-demand dedicated courier business while accelerating the application of AI across our platform, from intelligent dispatching to AI-enabled service management and user interaction. We are also exploring new opportunities in emerging logistics infrastructure, including low-altitude delivery. As the low-altitude economy develops, drone-enabled logistics has the potential to complement our rider network in complex urban and longer-distance scenarios. Through continued technological innovation and disciplined execution, we believe FlashEx is well positioned to capture new market opportunities and drive sustainable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9" w:lineRule="exact"/>
        <w:rPr>
          <w:sz w:val="20"/>
          <w:szCs w:val="20"/>
          <w:color w:val="auto"/>
        </w:rPr>
      </w:pPr>
    </w:p>
    <w:p>
      <w:pPr>
        <w:jc w:val="both"/>
        <w:ind w:firstLine="8"/>
        <w:spacing w:after="0" w:line="210" w:lineRule="auto"/>
        <w:tabs>
          <w:tab w:leader="none" w:pos="128"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income from operations, non-GAAP net income, non-GAAP net income attributable to ordinary shareholders, non-GAAP operating margin and non-GAAP net income margin are non-GAAP financial measures. For more information on non-GAAP financial measures, please see the section “Use of Non-GAAP Financial Measures” and the table captioned “Reconciliations of GAAP and Non-GAAP Results.”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Mr. Luke Tang, Chief Financial Officer of FlashEx, said, “Throughout 2025, our differentiated, on-demand dedicated courier model and sharp focus on operational efficiency enabled us to maintain stable performance despite intense industry competition. For the full year, we reported net income of RMB109.4 million and non-GAAP net income of RMB199.4 million, marking our third consecutive year of non-GAAP profitability. We closed the year with a robust cash balance of RMB951.6 million. As of March 16, 2026, we have repurchased US$9.2 million of our shares. Our Board has also approved a one-year extension of the existing US$30.0 million share repurchase program. Looking ahead, we will continue to enhance the user experience, support our rider community, and strengthen operational excellence.”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RMB1,001.3 million (US$143.2 million) in the fourth quarter of 2025, compared with RMB1,028.9 million in the same period of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driven by a decline in order volume amid intensified market competition.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was RMB893.4 million (US$127.8 million), compared with RMB926.0 million in the same period of 2024. The decrease was in line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decline in revenues.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RMB107.9 million (US$15.4 million), compared with RMB102.9 million in the same period of 2024. Gross profit margin was 10.8%,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with 10.0% in the same period of 2024.</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RMB105.0 million (US$15.0 million), representing a decrease of 58.9% from RMB255.6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The decrease was primarily attributable to the immediate recognition of accumulated share-based compensation expenses in the fourth quarter of 2024.</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Selling and marketing expenses </w:t>
      </w:r>
      <w:r>
        <w:rPr>
          <w:rFonts w:ascii="Times New Roman" w:cs="Times New Roman" w:eastAsia="Times New Roman" w:hAnsi="Times New Roman"/>
          <w:sz w:val="18"/>
          <w:szCs w:val="18"/>
          <w:color w:val="auto"/>
        </w:rPr>
        <w:t>were RMB52.0 million (US$7.4 million), representing a decrease of 42.4% from RMB90.3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RMB35.0 million (US$5.0 million), representing a decrease of 58.8% from RMB85.0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2024.</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RMB18.0 million (US$2.6 million), representing a decrease of 77.6% from RMB80.4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was RMB2.9 million (US$0.4 million), compared with a loss from operations of RMB152.7 million in the same period of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income from operations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RMB10.5 million (US$1.5 million), compared with RMB7.3 million in the same period of 2024.</w:t>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Changes in fair value of long-term investments </w:t>
      </w:r>
      <w:r>
        <w:rPr>
          <w:rFonts w:ascii="Times New Roman" w:cs="Times New Roman" w:eastAsia="Times New Roman" w:hAnsi="Times New Roman"/>
          <w:sz w:val="18"/>
          <w:szCs w:val="18"/>
          <w:color w:val="auto"/>
        </w:rPr>
        <w:t>were RMB11.5 million (US$1.6 million), representing a decrease of 92.5% compared with RMB154.0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period of 2024. The decrease was primarily attributable to the reduction in losses from the fair value measurement of long-term investments.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Investment income </w:t>
      </w:r>
      <w:r>
        <w:rPr>
          <w:rFonts w:ascii="Times New Roman" w:cs="Times New Roman" w:eastAsia="Times New Roman" w:hAnsi="Times New Roman"/>
          <w:sz w:val="18"/>
          <w:szCs w:val="18"/>
          <w:color w:val="auto"/>
        </w:rPr>
        <w:t>was RMB27.8 million (US$4.0 million), compared with RMB0.8 million in the same period of 2024, reflecting an increase in the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short-term investments and realized gain from long-term investments.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RMB22.5 million (US$3.2 million), compared with a net loss of RMB294.0 million in the same period of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RMB41.6 million (US$5.9 million), compared with RMB20.1 million in the same period of 2024.</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ordinary shareholders </w:t>
      </w:r>
      <w:r>
        <w:rPr>
          <w:rFonts w:ascii="Times New Roman" w:cs="Times New Roman" w:eastAsia="Times New Roman" w:hAnsi="Times New Roman"/>
          <w:sz w:val="18"/>
          <w:szCs w:val="18"/>
          <w:color w:val="auto"/>
        </w:rPr>
        <w:t>was RMB22.5 million (US$3.2 million), compared with a net loss attributable to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of RMB296.8 million in the same period of 2024.</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line="218" w:lineRule="auto"/>
        <w:rPr>
          <w:sz w:val="20"/>
          <w:szCs w:val="20"/>
          <w:color w:val="auto"/>
        </w:rPr>
      </w:pPr>
      <w:r>
        <w:rPr>
          <w:rFonts w:ascii="Times New Roman" w:cs="Times New Roman" w:eastAsia="Times New Roman" w:hAnsi="Times New Roman"/>
          <w:sz w:val="18"/>
          <w:szCs w:val="18"/>
          <w:b w:val="1"/>
          <w:bCs w:val="1"/>
          <w:color w:val="auto"/>
        </w:rPr>
        <w:t>Non-GAAP net income attributable to ordinary shareholders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RMB41.6 million (US$5.9 million), compared with RMB17.2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Basic net earnings per ordinary share </w:t>
      </w:r>
      <w:r>
        <w:rPr>
          <w:rFonts w:ascii="Times New Roman" w:cs="Times New Roman" w:eastAsia="Times New Roman" w:hAnsi="Times New Roman"/>
          <w:sz w:val="18"/>
          <w:szCs w:val="18"/>
          <w:color w:val="auto"/>
        </w:rPr>
        <w:t>was RMB0.11 (US$0.02).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Diluted net earnings per ordinary share </w:t>
      </w:r>
      <w:r>
        <w:rPr>
          <w:rFonts w:ascii="Times New Roman" w:cs="Times New Roman" w:eastAsia="Times New Roman" w:hAnsi="Times New Roman"/>
          <w:sz w:val="18"/>
          <w:szCs w:val="18"/>
          <w:color w:val="auto"/>
        </w:rPr>
        <w:t>was RMB0.11 (US$0.02).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Financial Results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RMB3,992.1 million (US$570.9 million) in 2025, compared with RMB4,468.2 million in 2024. The decrease was primarily driven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decline in order volume amid intensified market competition.</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was RMB3,523.0 million (US$503.8 million), compared with RMB3,977.6 million in 2024. The decrease was in line with the decline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RMB469.1 million (US$67.1 million), compared with RMB490.6 million in 2024. Gross profit margin was 11.8%, compared with 11.0%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RMB422.8 million (US$60.5 million), representing a decrease of 18.1% from RMB516.3 million in 2024.</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Selling and marketing expenses </w:t>
      </w:r>
      <w:r>
        <w:rPr>
          <w:rFonts w:ascii="Times New Roman" w:cs="Times New Roman" w:eastAsia="Times New Roman" w:hAnsi="Times New Roman"/>
          <w:sz w:val="18"/>
          <w:szCs w:val="18"/>
          <w:color w:val="auto"/>
        </w:rPr>
        <w:t>were RMB192.4 million (US$27.5 million), representing a decrease of 14.1% from RMB223.9 million in 2024.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was primarily attributable to a reduction in share-based compensation 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RMB145.9 million (US$20.9 million), remaining stable compared with RMB148.5 million in 2024.</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RMB84.5 million (US$12.1 million), representing a decrease of 41.3% from RMB143.9 million in 2024.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was primarily attributable to the reduction in share-based compensation expenses and staff costs.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was RMB46.3 million (US$6.6 million), compared with a loss from operations of RMB25.8 million in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income from operations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RMB92.7 million (US$13.3 million), compared with RMB134.3 million in 2024.</w:t>
      </w:r>
    </w:p>
    <w:p>
      <w:pPr>
        <w:spacing w:after="0" w:line="13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Changes in fair value of long-term investments </w:t>
      </w:r>
      <w:r>
        <w:rPr>
          <w:rFonts w:ascii="Times New Roman" w:cs="Times New Roman" w:eastAsia="Times New Roman" w:hAnsi="Times New Roman"/>
          <w:sz w:val="18"/>
          <w:szCs w:val="18"/>
          <w:color w:val="auto"/>
        </w:rPr>
        <w:t>were RMB43.5 million (US$6.2 million), representing a decrease of 76.8% compared with RMB187.7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2024. The decrease was primarily attributable to the reduction in losses from the fair value measurement of long-term investments.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Investment income </w:t>
      </w:r>
      <w:r>
        <w:rPr>
          <w:rFonts w:ascii="Times New Roman" w:cs="Times New Roman" w:eastAsia="Times New Roman" w:hAnsi="Times New Roman"/>
          <w:sz w:val="18"/>
          <w:szCs w:val="18"/>
          <w:color w:val="auto"/>
        </w:rPr>
        <w:t>was RMB79.0 million (US$11.3 million), compared with RMB4.2 million in 2024, reflecting an increase in the fair value of short-term investments and realized gain from long-term investments.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RMB109.4 million (US$15.6 million), compared with a net loss of RMB146.5 million in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RMB199.4 million (US$28.5 million), compared with RMB201.3 million in 2024.</w:t>
      </w:r>
    </w:p>
    <w:p>
      <w:pPr>
        <w:spacing w:after="0" w:line="13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ordinary shareholders </w:t>
      </w:r>
      <w:r>
        <w:rPr>
          <w:rFonts w:ascii="Times New Roman" w:cs="Times New Roman" w:eastAsia="Times New Roman" w:hAnsi="Times New Roman"/>
          <w:sz w:val="18"/>
          <w:szCs w:val="18"/>
          <w:color w:val="auto"/>
        </w:rPr>
        <w:t>was RMB109.4 million (US$15.6 million), compared with a net loss attributable to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of RMB260.1 million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 attributable to ordinary shareholders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RMB199.4 million (US$28.5 million), compared with RMB87.6 million in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Basic net earnings per ordinary share </w:t>
      </w:r>
      <w:r>
        <w:rPr>
          <w:rFonts w:ascii="Times New Roman" w:cs="Times New Roman" w:eastAsia="Times New Roman" w:hAnsi="Times New Roman"/>
          <w:sz w:val="18"/>
          <w:szCs w:val="18"/>
          <w:color w:val="auto"/>
        </w:rPr>
        <w:t>was RMB0.53 (US$0.08).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Diluted net earnings per ordinary share </w:t>
      </w:r>
      <w:r>
        <w:rPr>
          <w:rFonts w:ascii="Times New Roman" w:cs="Times New Roman" w:eastAsia="Times New Roman" w:hAnsi="Times New Roman"/>
          <w:sz w:val="18"/>
          <w:szCs w:val="18"/>
          <w:color w:val="auto"/>
        </w:rPr>
        <w:t>was RMB0.52 (US$0.07).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of December 31, 2025, </w:t>
      </w: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short-term investments</w:t>
      </w:r>
      <w:r>
        <w:rPr>
          <w:rFonts w:ascii="Times New Roman" w:cs="Times New Roman" w:eastAsia="Times New Roman" w:hAnsi="Times New Roman"/>
          <w:sz w:val="18"/>
          <w:szCs w:val="18"/>
          <w:color w:val="auto"/>
        </w:rPr>
        <w:t xml:space="preserve"> were RMB951.6 million (US$136.1 million).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Update on Share Repurchase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17, 2026, the Board of directors approved a one-year extension of the Company’s existing share repurchase program. The Company is authorized to repurchase up to an aggregate of US$30.0 million worth of its shares until April 1, 2027. As of March 16, 2026, the Company had repurchased a total of approximately 2.8 million ADSs in the open market with cash for an aggregate consideration of approximately US$9.2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host an earnings conference call on Tuesday, March 17, 2026, at 8:00PM Beijing Time (8:00AM U.S. Eastern Time) to discuss the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required to pre-register for the conference call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https://register-conf.media-server.com/register/BI3cb69ece9b4c43c3bcabef4fd367742d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registration, participants will receive an email containing participant dial-in numbers and a personal PIN to join the conference call.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 live webcast of the conference call will be available on the Company’s investor relations website at </w:t>
      </w:r>
      <w:r>
        <w:rPr>
          <w:rFonts w:ascii="Times New Roman" w:cs="Times New Roman" w:eastAsia="Times New Roman" w:hAnsi="Times New Roman"/>
          <w:sz w:val="18"/>
          <w:szCs w:val="18"/>
          <w:u w:val="single" w:color="auto"/>
          <w:color w:val="auto"/>
        </w:rPr>
        <w:t>http://ir.ishansong.com</w:t>
      </w:r>
      <w:r>
        <w:rPr>
          <w:rFonts w:ascii="Times New Roman" w:cs="Times New Roman" w:eastAsia="Times New Roman" w:hAnsi="Times New Roman"/>
          <w:sz w:val="18"/>
          <w:szCs w:val="18"/>
          <w:color w:val="auto"/>
        </w:rPr>
        <w:t>, and a replay of the webcast will be available following the session.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BingEx Limited</w:t>
      </w:r>
    </w:p>
    <w:p>
      <w:pPr>
        <w:spacing w:after="0" w:line="229"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BingEx Limited (Nasdaq: FLX) is a pioneer in China in providing on-demand dedicated courier services for individual and business customers with superior time certainty, delivery safety and service quality. The company brands its services as “FlashEx,” or “</w:t>
      </w:r>
      <w:r>
        <w:rPr>
          <w:rFonts w:ascii="SimSun" w:cs="SimSun" w:eastAsia="SimSun" w:hAnsi="SimSun"/>
          <w:sz w:val="18"/>
          <w:szCs w:val="18"/>
          <w:color w:val="auto"/>
        </w:rPr>
        <w:t>闪送</w:t>
      </w:r>
      <w:r>
        <w:rPr>
          <w:rFonts w:ascii="Times New Roman" w:cs="Times New Roman" w:eastAsia="Times New Roman" w:hAnsi="Times New Roman"/>
          <w:sz w:val="18"/>
          <w:szCs w:val="18"/>
          <w:color w:val="auto"/>
        </w:rPr>
        <w:t>”. FlashEx has become synonymous with on-demand dedicated courier services in China. With a mission to make people’s lives better through its services, FlashEx remains dedicated to consistently providing a superior customer experience and offering a unique value proposition to all participants in its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http://ir.ishansong.com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supplement our financial results presented in accordance with U.S. GAAP, we use non-GAAP financial measures, namely non-GAAP income from operations, non-GAAP net income, non-GAAP net income attributable to ordinary shareholders, non-GAAP operating margin and non-GAAP net income margin, as supplemental measures to evaluate our operating results and make financial and operational decisions. Non-GAAP income from operations represents income (loss) from operations excluding share-based compensation expenses. Non-GAAP operating margin is equal to non-GAAP income from operations divided by revenues. Non-GAAP net income represents net income excluding changes in fair value of long-term investments and share-based compensation expenses. Non-GAAP net income margin is equal to non-GAAP net income divided by revenues. Non-GAAP net income attributable to ordinary shareholders represents net income attributable to ordinary shareholders excluding changes in fair value of long-term investments and share-based compensation expenses.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excluding the impact of changes in fair value of long-term investments and share-based compensation expenses, which are non-cash charges, we believe that non-GAAP financial measures help identify underlying trends in our business that could otherwise be distorted by the effect of certain earnings or losses that we include in results based on U.S. GAAP. We believe that non-GAAP financial measures provide useful information about our operating results, enhance the overall understanding of our past performance and future prospects and allow for greater visibility into key metrics used by our management in its financial and operational decision-making.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Our non-GAAP financial measures should be considered in addition to results prepared in accordance with U.S. GAAP but should not be considered a substitute for or superior to U.S. GAAP results. In addition, our calculation of non-GAAP financial information may be different from the calculation used by other companies, and therefore comparability may be limited.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our non-GAAP results to our U.S. GAAP financial measures are set forth in tables at the end of this earnings release, which provide more details on the non-GAAP financial measures.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(“USD”) at specified rates solely for the convenience of the reader. Unless otherwise stated, all translations from RMB to USD were made at the rate of RMB6.9931 to US$1.00, the exchange rate set forth in the H.10 statistical release of the Board of Governors of the Federal Reserve System as of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pursuant to the “safe harbor” provisions of the U.S. Private Securities Litigation Reform Act of 1995. Statements that are not historical facts, including statements about the Company’s beliefs, plans, and expectations, are forward-looking statements. Forward-looking statements involve inherent risks and uncertainties. A number of factors could cause actual results to differ materially from those contained in any forward-looking statement. In some cases, these forward-looking statements can be identified by terminology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does not undertake any duty to update such information, except as required under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China: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BingEx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ir@ishansong.com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Helen Wu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+86-10-6508-0677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FlashEx@thepiacentegroup.com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United States: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 Piacente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+1-212-481-2050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FlashEx@thepiacentegroup.com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number of shares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Pr>
          <w:p>
            <w:pPr>
              <w:spacing w:after="0"/>
              <w:rPr>
                <w:sz w:val="19"/>
                <w:szCs w:val="19"/>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5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4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60" w:type="dxa"/>
            <w:vAlign w:val="bottom"/>
          </w:tcPr>
          <w:p>
            <w:pPr>
              <w:spacing w:after="0"/>
              <w:rPr>
                <w:sz w:val="20"/>
                <w:szCs w:val="20"/>
                <w:color w:val="auto"/>
              </w:rPr>
            </w:pPr>
          </w:p>
        </w:tc>
        <w:tc>
          <w:tcPr>
            <w:tcW w:w="250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4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60" w:type="dxa"/>
            <w:vAlign w:val="bottom"/>
          </w:tcPr>
          <w:p>
            <w:pPr>
              <w:spacing w:after="0"/>
              <w:rPr>
                <w:sz w:val="18"/>
                <w:szCs w:val="18"/>
                <w:color w:val="auto"/>
              </w:rPr>
            </w:pPr>
          </w:p>
        </w:tc>
        <w:tc>
          <w:tcPr>
            <w:tcW w:w="250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RMB</w:t>
            </w:r>
          </w:p>
        </w:tc>
        <w:tc>
          <w:tcPr>
            <w:tcW w:w="11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592,358</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561,127</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80,240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46,735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153,910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390,353</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55,820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16,893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36,726</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5,252</w:t>
            </w:r>
          </w:p>
        </w:tc>
      </w:tr>
      <w:tr>
        <w:trPr>
          <w:trHeight w:val="22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48,553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45,665</w:t>
            </w:r>
          </w:p>
        </w:tc>
        <w:tc>
          <w:tcPr>
            <w:tcW w:w="5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6,529</w:t>
            </w:r>
          </w:p>
        </w:tc>
      </w:tr>
      <w:tr>
        <w:trPr>
          <w:trHeight w:val="20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858,449</w:t>
            </w:r>
          </w:p>
        </w:tc>
        <w:tc>
          <w:tcPr>
            <w:tcW w:w="36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1,033,962</w:t>
            </w:r>
          </w:p>
        </w:tc>
        <w:tc>
          <w:tcPr>
            <w:tcW w:w="3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147,854</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324,110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224,404</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32,089</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3,687</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1,941</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44,577</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25,087</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3,587</w:t>
            </w: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4,600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3,062</w:t>
            </w:r>
          </w:p>
        </w:tc>
        <w:tc>
          <w:tcPr>
            <w:tcW w:w="5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w:t>
            </w:r>
          </w:p>
        </w:tc>
      </w:tr>
      <w:tr>
        <w:trPr>
          <w:trHeight w:val="20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376,974</w:t>
            </w:r>
          </w:p>
        </w:tc>
        <w:tc>
          <w:tcPr>
            <w:tcW w:w="36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254,494</w:t>
            </w:r>
          </w:p>
        </w:tc>
        <w:tc>
          <w:tcPr>
            <w:tcW w:w="3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36,392</w:t>
            </w:r>
          </w:p>
        </w:tc>
        <w:tc>
          <w:tcPr>
            <w:tcW w:w="100" w:type="dxa"/>
            <w:vAlign w:val="bottom"/>
            <w:tcBorders>
              <w:bottom w:val="single" w:sz="8" w:color="CCEEFF"/>
            </w:tcBorders>
          </w:tcPr>
          <w:p>
            <w:pPr>
              <w:spacing w:after="0"/>
              <w:rPr>
                <w:sz w:val="18"/>
                <w:szCs w:val="18"/>
                <w:color w:val="auto"/>
              </w:rPr>
            </w:pPr>
          </w:p>
        </w:tc>
      </w:tr>
      <w:tr>
        <w:trPr>
          <w:trHeight w:val="223"/>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1,235,423</w:t>
            </w:r>
          </w:p>
        </w:tc>
        <w:tc>
          <w:tcPr>
            <w:tcW w:w="36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1,288,456</w:t>
            </w:r>
          </w:p>
        </w:tc>
        <w:tc>
          <w:tcPr>
            <w:tcW w:w="3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184,246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223,391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224,090</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32,044</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56,768</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60,541</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8,657</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13,091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9,728</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1,391</w:t>
            </w: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165,714</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145,791</w:t>
            </w:r>
          </w:p>
        </w:tc>
        <w:tc>
          <w:tcPr>
            <w:tcW w:w="5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20,848</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458,964</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440,150</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29,395</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12,879</w:t>
            </w:r>
          </w:p>
        </w:tc>
        <w:tc>
          <w:tcPr>
            <w:tcW w:w="5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1,842</w:t>
            </w:r>
          </w:p>
        </w:tc>
      </w:tr>
      <w:tr>
        <w:trPr>
          <w:trHeight w:val="20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29,395</w:t>
            </w:r>
          </w:p>
        </w:tc>
        <w:tc>
          <w:tcPr>
            <w:tcW w:w="36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12,879</w:t>
            </w:r>
          </w:p>
        </w:tc>
        <w:tc>
          <w:tcPr>
            <w:tcW w:w="3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1,842</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488,359</w:t>
            </w:r>
          </w:p>
        </w:tc>
        <w:tc>
          <w:tcPr>
            <w:tcW w:w="36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453,029</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64,782</w:t>
            </w:r>
          </w:p>
        </w:tc>
        <w:tc>
          <w:tcPr>
            <w:tcW w:w="100" w:type="dxa"/>
            <w:vAlign w:val="bottom"/>
            <w:shd w:val="clear" w:color="auto" w:fill="CCEEFF"/>
          </w:tcPr>
          <w:p>
            <w:pPr>
              <w:spacing w:after="0"/>
              <w:rPr>
                <w:sz w:val="18"/>
                <w:szCs w:val="18"/>
                <w:color w:val="auto"/>
              </w:rPr>
            </w:pPr>
          </w:p>
        </w:tc>
      </w:tr>
      <w:tr>
        <w:trPr>
          <w:trHeight w:val="210"/>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747,064</w:t>
            </w:r>
          </w:p>
        </w:tc>
        <w:tc>
          <w:tcPr>
            <w:tcW w:w="36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835,427</w:t>
            </w:r>
          </w:p>
        </w:tc>
        <w:tc>
          <w:tcPr>
            <w:tcW w:w="3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119,464</w:t>
            </w:r>
          </w:p>
        </w:tc>
        <w:tc>
          <w:tcPr>
            <w:tcW w:w="100" w:type="dxa"/>
            <w:vAlign w:val="bottom"/>
            <w:tcBorders>
              <w:bottom w:val="single" w:sz="8" w:color="CCEEFF"/>
            </w:tcBorders>
          </w:tcPr>
          <w:p>
            <w:pPr>
              <w:spacing w:after="0"/>
              <w:rPr>
                <w:sz w:val="18"/>
                <w:szCs w:val="18"/>
                <w:color w:val="auto"/>
              </w:rPr>
            </w:pPr>
          </w:p>
        </w:tc>
      </w:tr>
      <w:tr>
        <w:trPr>
          <w:trHeight w:val="223"/>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1,235,423</w:t>
            </w:r>
          </w:p>
        </w:tc>
        <w:tc>
          <w:tcPr>
            <w:tcW w:w="36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1,288,456</w:t>
            </w:r>
          </w:p>
        </w:tc>
        <w:tc>
          <w:tcPr>
            <w:tcW w:w="3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184,246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3840" w:type="dxa"/>
            <w:vAlign w:val="bottom"/>
            <w:gridSpan w:val="6"/>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680" w:type="dxa"/>
            <w:vAlign w:val="bottom"/>
            <w:gridSpan w:val="6"/>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r>
      <w:tr>
        <w:trPr>
          <w:trHeight w:val="223"/>
        </w:trPr>
        <w:tc>
          <w:tcPr>
            <w:tcW w:w="37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32"/>
        </w:trPr>
        <w:tc>
          <w:tcPr>
            <w:tcW w:w="372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8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USD</w:t>
            </w:r>
          </w:p>
        </w:tc>
        <w:tc>
          <w:tcPr>
            <w:tcW w:w="2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RMB</w:t>
            </w:r>
          </w:p>
        </w:tc>
        <w:tc>
          <w:tcPr>
            <w:tcW w:w="3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r>
      <w:tr>
        <w:trPr>
          <w:trHeight w:val="194"/>
        </w:trPr>
        <w:tc>
          <w:tcPr>
            <w:tcW w:w="3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1,028,877</w:t>
            </w:r>
          </w:p>
        </w:tc>
        <w:tc>
          <w:tcPr>
            <w:tcW w:w="12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1,001,305</w:t>
            </w:r>
          </w:p>
        </w:tc>
        <w:tc>
          <w:tcPr>
            <w:tcW w:w="12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143,185</w:t>
            </w:r>
          </w:p>
        </w:tc>
        <w:tc>
          <w:tcPr>
            <w:tcW w:w="13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4,468,161</w:t>
            </w:r>
          </w:p>
        </w:tc>
        <w:tc>
          <w:tcPr>
            <w:tcW w:w="12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3,992,067</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570,858</w:t>
            </w: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(925,962)</w:t>
            </w: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(893,378)</w:t>
            </w: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(127,751)</w:t>
            </w: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(3,977,598)</w:t>
            </w:r>
          </w:p>
        </w:tc>
        <w:tc>
          <w:tcPr>
            <w:tcW w:w="12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(3,522,968)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(503,778)</w:t>
            </w: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102,915</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107,927</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15,434</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490,563</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469,099</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(90,266)</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(51,954)</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(7,429)</w:t>
            </w:r>
          </w:p>
        </w:tc>
        <w:tc>
          <w:tcPr>
            <w:tcW w:w="13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(223,935)</w:t>
            </w:r>
          </w:p>
        </w:tc>
        <w:tc>
          <w:tcPr>
            <w:tcW w:w="12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(192,400)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(27,513)</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(84,986)</w:t>
            </w: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(35,027)</w:t>
            </w: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(5,009)</w:t>
            </w: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(148,549)</w:t>
            </w:r>
          </w:p>
        </w:tc>
        <w:tc>
          <w:tcPr>
            <w:tcW w:w="12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(145,925)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(20,867)</w:t>
            </w:r>
          </w:p>
        </w:tc>
      </w:tr>
      <w:tr>
        <w:trPr>
          <w:trHeight w:val="22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(80,379)</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(18,044)</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(2,580)</w:t>
            </w:r>
          </w:p>
        </w:tc>
        <w:tc>
          <w:tcPr>
            <w:tcW w:w="13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(143,856)</w:t>
            </w:r>
          </w:p>
        </w:tc>
        <w:tc>
          <w:tcPr>
            <w:tcW w:w="12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(84,473)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(12,079)</w:t>
            </w:r>
          </w:p>
        </w:tc>
      </w:tr>
      <w:tr>
        <w:trPr>
          <w:trHeight w:val="209"/>
        </w:trPr>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(255,631</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(105,025</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(15,018</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(516,340</w:t>
            </w:r>
          </w:p>
        </w:tc>
        <w:tc>
          <w:tcPr>
            <w:tcW w:w="3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(422,798</w:t>
            </w:r>
          </w:p>
        </w:tc>
        <w:tc>
          <w:tcPr>
            <w:tcW w:w="3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(60,459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(152,716</w:t>
            </w:r>
          </w:p>
        </w:tc>
        <w:tc>
          <w:tcPr>
            <w:tcW w:w="2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2,902</w:t>
            </w:r>
          </w:p>
        </w:tc>
        <w:tc>
          <w:tcPr>
            <w:tcW w:w="2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2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(25,777</w:t>
            </w:r>
          </w:p>
        </w:tc>
        <w:tc>
          <w:tcPr>
            <w:tcW w:w="3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46,301</w:t>
            </w:r>
          </w:p>
        </w:tc>
        <w:tc>
          <w:tcPr>
            <w:tcW w:w="3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6,621</w:t>
            </w:r>
          </w:p>
        </w:tc>
        <w:tc>
          <w:tcPr>
            <w:tcW w:w="100" w:type="dxa"/>
            <w:vAlign w:val="bottom"/>
            <w:shd w:val="clear" w:color="auto" w:fill="CCEEFF"/>
          </w:tcPr>
          <w:p>
            <w:pPr>
              <w:spacing w:after="0"/>
              <w:rPr>
                <w:sz w:val="18"/>
                <w:szCs w:val="18"/>
                <w:color w:val="auto"/>
              </w:rPr>
            </w:pP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long-term investments</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(154,039)</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(11,517)</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(1,647)</w:t>
            </w:r>
          </w:p>
        </w:tc>
        <w:tc>
          <w:tcPr>
            <w:tcW w:w="13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(187,725)</w:t>
            </w:r>
          </w:p>
        </w:tc>
        <w:tc>
          <w:tcPr>
            <w:tcW w:w="12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(43,526)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2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762</w:t>
            </w:r>
          </w:p>
        </w:tc>
        <w:tc>
          <w:tcPr>
            <w:tcW w:w="12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27,758</w:t>
            </w:r>
          </w:p>
        </w:tc>
        <w:tc>
          <w:tcPr>
            <w:tcW w:w="12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3,969</w:t>
            </w:r>
          </w:p>
        </w:tc>
        <w:tc>
          <w:tcPr>
            <w:tcW w:w="13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4,203</w:t>
            </w:r>
          </w:p>
        </w:tc>
        <w:tc>
          <w:tcPr>
            <w:tcW w:w="12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79,008</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11,298</w:t>
            </w:r>
          </w:p>
        </w:tc>
      </w:tr>
      <w:tr>
        <w:trPr>
          <w:trHeight w:val="22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7,321</w:t>
            </w:r>
          </w:p>
        </w:tc>
        <w:tc>
          <w:tcPr>
            <w:tcW w:w="12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20</w:t>
            </w:r>
          </w:p>
        </w:tc>
        <w:tc>
          <w:tcPr>
            <w:tcW w:w="12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41,672</w:t>
            </w:r>
          </w:p>
        </w:tc>
        <w:tc>
          <w:tcPr>
            <w:tcW w:w="12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13,645</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1,951</w:t>
            </w: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(293,991)</w:t>
            </w:r>
          </w:p>
        </w:tc>
        <w:tc>
          <w:tcPr>
            <w:tcW w:w="2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22,661</w:t>
            </w:r>
          </w:p>
        </w:tc>
        <w:tc>
          <w:tcPr>
            <w:tcW w:w="2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3,241</w:t>
            </w:r>
          </w:p>
        </w:tc>
        <w:tc>
          <w:tcPr>
            <w:tcW w:w="2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(146,411)</w:t>
            </w:r>
          </w:p>
        </w:tc>
        <w:tc>
          <w:tcPr>
            <w:tcW w:w="3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109,706</w:t>
            </w:r>
          </w:p>
        </w:tc>
        <w:tc>
          <w:tcPr>
            <w:tcW w:w="3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15,688</w:t>
            </w:r>
          </w:p>
        </w:tc>
        <w:tc>
          <w:tcPr>
            <w:tcW w:w="100" w:type="dxa"/>
            <w:vAlign w:val="bottom"/>
          </w:tcPr>
          <w:p>
            <w:pPr>
              <w:spacing w:after="0"/>
              <w:rPr>
                <w:sz w:val="18"/>
                <w:szCs w:val="18"/>
                <w:color w:val="auto"/>
              </w:rPr>
            </w:pPr>
          </w:p>
        </w:tc>
      </w:tr>
      <w:tr>
        <w:trPr>
          <w:trHeight w:val="23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(202)</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w:t>
            </w:r>
          </w:p>
        </w:tc>
        <w:tc>
          <w:tcPr>
            <w:tcW w:w="13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(69)</w:t>
            </w:r>
          </w:p>
        </w:tc>
        <w:tc>
          <w:tcPr>
            <w:tcW w:w="12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(277)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(293,992)</w:t>
            </w:r>
          </w:p>
        </w:tc>
        <w:tc>
          <w:tcPr>
            <w:tcW w:w="2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22,459</w:t>
            </w:r>
          </w:p>
        </w:tc>
        <w:tc>
          <w:tcPr>
            <w:tcW w:w="2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3,212</w:t>
            </w:r>
          </w:p>
        </w:tc>
        <w:tc>
          <w:tcPr>
            <w:tcW w:w="2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(146,480)</w:t>
            </w:r>
          </w:p>
        </w:tc>
        <w:tc>
          <w:tcPr>
            <w:tcW w:w="3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109,429</w:t>
            </w:r>
          </w:p>
        </w:tc>
        <w:tc>
          <w:tcPr>
            <w:tcW w:w="3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15,648</w:t>
            </w:r>
          </w:p>
        </w:tc>
        <w:tc>
          <w:tcPr>
            <w:tcW w:w="100" w:type="dxa"/>
            <w:vAlign w:val="bottom"/>
          </w:tcPr>
          <w:p>
            <w:pPr>
              <w:spacing w:after="0"/>
              <w:rPr>
                <w:sz w:val="18"/>
                <w:szCs w:val="18"/>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of redeemable convertible preferred</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to redemption value</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(2,831)</w:t>
            </w:r>
          </w:p>
        </w:tc>
        <w:tc>
          <w:tcPr>
            <w:tcW w:w="12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(113,658)</w:t>
            </w:r>
          </w:p>
        </w:tc>
        <w:tc>
          <w:tcPr>
            <w:tcW w:w="12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37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 (loss) attributable to ordinary</w:t>
            </w:r>
          </w:p>
        </w:tc>
        <w:tc>
          <w:tcPr>
            <w:tcW w:w="10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5"/>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(296,823)</w:t>
            </w:r>
          </w:p>
        </w:tc>
        <w:tc>
          <w:tcPr>
            <w:tcW w:w="12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22,459</w:t>
            </w:r>
          </w:p>
        </w:tc>
        <w:tc>
          <w:tcPr>
            <w:tcW w:w="12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3,212</w:t>
            </w: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(260,138)</w:t>
            </w:r>
          </w:p>
        </w:tc>
        <w:tc>
          <w:tcPr>
            <w:tcW w:w="12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109,429</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15,648</w:t>
            </w:r>
          </w:p>
        </w:tc>
      </w:tr>
      <w:tr>
        <w:trPr>
          <w:trHeight w:val="196"/>
        </w:trPr>
        <w:tc>
          <w:tcPr>
            <w:tcW w:w="3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earnings (loss) per ordinary share</w:t>
            </w: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(1.49)</w:t>
            </w:r>
          </w:p>
        </w:tc>
        <w:tc>
          <w:tcPr>
            <w:tcW w:w="12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0.11</w:t>
            </w:r>
          </w:p>
        </w:tc>
        <w:tc>
          <w:tcPr>
            <w:tcW w:w="12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0.02</w:t>
            </w: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(2.51)</w:t>
            </w:r>
          </w:p>
        </w:tc>
        <w:tc>
          <w:tcPr>
            <w:tcW w:w="12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0.53</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(1.49)</w:t>
            </w:r>
          </w:p>
        </w:tc>
        <w:tc>
          <w:tcPr>
            <w:tcW w:w="12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0.11</w:t>
            </w:r>
          </w:p>
        </w:tc>
        <w:tc>
          <w:tcPr>
            <w:tcW w:w="12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0.02</w:t>
            </w:r>
          </w:p>
        </w:tc>
        <w:tc>
          <w:tcPr>
            <w:tcW w:w="13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(2.51)</w:t>
            </w:r>
          </w:p>
        </w:tc>
        <w:tc>
          <w:tcPr>
            <w:tcW w:w="12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0.52</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0.07</w:t>
            </w:r>
          </w:p>
        </w:tc>
      </w:tr>
      <w:tr>
        <w:trPr>
          <w:trHeight w:val="194"/>
        </w:trPr>
        <w:tc>
          <w:tcPr>
            <w:tcW w:w="37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used in computing net earnings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ordinary share</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2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199,130,925</w:t>
            </w:r>
          </w:p>
        </w:tc>
        <w:tc>
          <w:tcPr>
            <w:tcW w:w="12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204,828,855</w:t>
            </w:r>
          </w:p>
        </w:tc>
        <w:tc>
          <w:tcPr>
            <w:tcW w:w="12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204,828,855</w:t>
            </w:r>
          </w:p>
        </w:tc>
        <w:tc>
          <w:tcPr>
            <w:tcW w:w="13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103,695,655</w:t>
            </w:r>
          </w:p>
        </w:tc>
        <w:tc>
          <w:tcPr>
            <w:tcW w:w="12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207,133,005</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207,133,005</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2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199,130,925</w:t>
            </w:r>
          </w:p>
        </w:tc>
        <w:tc>
          <w:tcPr>
            <w:tcW w:w="12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206,213,466</w:t>
            </w:r>
          </w:p>
        </w:tc>
        <w:tc>
          <w:tcPr>
            <w:tcW w:w="12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206,213,466</w:t>
            </w:r>
          </w:p>
        </w:tc>
        <w:tc>
          <w:tcPr>
            <w:tcW w:w="13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103,695,655</w:t>
            </w:r>
          </w:p>
        </w:tc>
        <w:tc>
          <w:tcPr>
            <w:tcW w:w="12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208,554,152</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208,554,152</w:t>
            </w:r>
          </w:p>
        </w:tc>
      </w:tr>
      <w:tr>
        <w:trPr>
          <w:trHeight w:val="414"/>
        </w:trPr>
        <w:tc>
          <w:tcPr>
            <w:tcW w:w="37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RECONCILIATIONS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3440" w:type="dxa"/>
            <w:vAlign w:val="bottom"/>
            <w:gridSpan w:val="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w:t>
            </w:r>
          </w:p>
        </w:tc>
        <w:tc>
          <w:tcPr>
            <w:tcW w:w="2540" w:type="dxa"/>
            <w:vAlign w:val="bottom"/>
            <w:gridSpan w:val="5"/>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7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9"/>
                <w:szCs w:val="19"/>
                <w:color w:val="auto"/>
              </w:rPr>
            </w:pPr>
          </w:p>
        </w:tc>
        <w:tc>
          <w:tcPr>
            <w:tcW w:w="7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580" w:type="dxa"/>
            <w:vAlign w:val="bottom"/>
          </w:tcPr>
          <w:p>
            <w:pPr>
              <w:spacing w:after="0"/>
              <w:rPr>
                <w:sz w:val="20"/>
                <w:szCs w:val="20"/>
                <w:color w:val="auto"/>
              </w:rPr>
            </w:pPr>
          </w:p>
        </w:tc>
        <w:tc>
          <w:tcPr>
            <w:tcW w:w="7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400" w:type="dxa"/>
            <w:vAlign w:val="bottom"/>
          </w:tcPr>
          <w:p>
            <w:pPr>
              <w:spacing w:after="0"/>
              <w:rPr>
                <w:sz w:val="20"/>
                <w:szCs w:val="20"/>
                <w:color w:val="auto"/>
              </w:rPr>
            </w:pPr>
          </w:p>
        </w:tc>
        <w:tc>
          <w:tcPr>
            <w:tcW w:w="7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USD</w:t>
            </w:r>
          </w:p>
        </w:tc>
        <w:tc>
          <w:tcPr>
            <w:tcW w:w="340" w:type="dxa"/>
            <w:vAlign w:val="bottom"/>
          </w:tcPr>
          <w:p>
            <w:pPr>
              <w:spacing w:after="0"/>
              <w:rPr>
                <w:sz w:val="20"/>
                <w:szCs w:val="20"/>
                <w:color w:val="auto"/>
              </w:rPr>
            </w:pPr>
          </w:p>
        </w:tc>
        <w:tc>
          <w:tcPr>
            <w:tcW w:w="7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RMB</w:t>
            </w:r>
          </w:p>
        </w:tc>
        <w:tc>
          <w:tcPr>
            <w:tcW w:w="400" w:type="dxa"/>
            <w:vAlign w:val="bottom"/>
          </w:tcPr>
          <w:p>
            <w:pPr>
              <w:spacing w:after="0"/>
              <w:rPr>
                <w:sz w:val="20"/>
                <w:szCs w:val="20"/>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4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4"/>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(152,716)</w:t>
            </w:r>
          </w:p>
        </w:tc>
        <w:tc>
          <w:tcPr>
            <w:tcW w:w="13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2,902</w:t>
            </w: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416</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(25,777)</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46,301</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6,621</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160,027</w:t>
            </w:r>
          </w:p>
        </w:tc>
        <w:tc>
          <w:tcPr>
            <w:tcW w:w="13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7,595</w:t>
            </w: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1,086</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160,027</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46,430</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6,639</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income from operations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10,497</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w w:val="93"/>
              </w:rPr>
              <w:t>1,502</w:t>
            </w:r>
          </w:p>
        </w:tc>
        <w:tc>
          <w:tcPr>
            <w:tcW w:w="3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134,250</w:t>
            </w: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92,731</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margin</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-14.8%</w:t>
            </w: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0.3%</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-0.6%</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 expenses as a percentage</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revenues</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c>
          <w:tcPr>
            <w:tcW w:w="13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7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operating margin</w:t>
            </w: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vMerge w:val="continue"/>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0.8%</w:t>
            </w:r>
          </w:p>
        </w:tc>
        <w:tc>
          <w:tcPr>
            <w:tcW w:w="200" w:type="dxa"/>
            <w:vAlign w:val="bottom"/>
            <w:vMerge w:val="continue"/>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(293,992)</w:t>
            </w:r>
          </w:p>
        </w:tc>
        <w:tc>
          <w:tcPr>
            <w:tcW w:w="13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22,459</w:t>
            </w: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3,212</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(146,480)</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109,429</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15,648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Changes in fair value of long-term investments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154,039</w:t>
            </w:r>
          </w:p>
        </w:tc>
        <w:tc>
          <w:tcPr>
            <w:tcW w:w="13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11,517</w:t>
            </w:r>
          </w:p>
        </w:tc>
        <w:tc>
          <w:tcPr>
            <w:tcW w:w="1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1,647</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187,725</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43,526</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6,224</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160,027</w:t>
            </w:r>
          </w:p>
        </w:tc>
        <w:tc>
          <w:tcPr>
            <w:tcW w:w="13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7,595</w:t>
            </w: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1,086</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160,027</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46,430</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6,639</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20,074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41,571</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w w:val="93"/>
              </w:rPr>
              <w:t>5,945</w:t>
            </w:r>
          </w:p>
        </w:tc>
        <w:tc>
          <w:tcPr>
            <w:tcW w:w="3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201,272</w:t>
            </w: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199,385</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margin</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-28.6%</w:t>
            </w: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Changes in fair value of long-term investments as a</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revenues</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13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 expenses as a percentage</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of revenues</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margin</w:t>
            </w: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w:t>
            </w:r>
          </w:p>
        </w:tc>
        <w:tc>
          <w:tcPr>
            <w:tcW w:w="20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ordinary shareholders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(296,823)</w:t>
            </w:r>
          </w:p>
        </w:tc>
        <w:tc>
          <w:tcPr>
            <w:tcW w:w="13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22,459</w:t>
            </w:r>
          </w:p>
        </w:tc>
        <w:tc>
          <w:tcPr>
            <w:tcW w:w="1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3,212</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(260,138)</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109,429</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15,648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Add: Changes in fair value of long-term investments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154,039</w:t>
            </w:r>
          </w:p>
        </w:tc>
        <w:tc>
          <w:tcPr>
            <w:tcW w:w="13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11,517</w:t>
            </w: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1,647</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187,725</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43,526</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6,224</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160,027</w:t>
            </w:r>
          </w:p>
        </w:tc>
        <w:tc>
          <w:tcPr>
            <w:tcW w:w="13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7,595</w:t>
            </w:r>
          </w:p>
        </w:tc>
        <w:tc>
          <w:tcPr>
            <w:tcW w:w="1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1,086</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160,027</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46,430</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6,639</w:t>
            </w:r>
          </w:p>
        </w:tc>
        <w:tc>
          <w:tcPr>
            <w:tcW w:w="0" w:type="dxa"/>
            <w:vAlign w:val="bottom"/>
          </w:tcPr>
          <w:p>
            <w:pPr>
              <w:spacing w:after="0"/>
              <w:rPr>
                <w:sz w:val="1"/>
                <w:szCs w:val="1"/>
                <w:color w:val="auto"/>
              </w:rPr>
            </w:pPr>
          </w:p>
        </w:tc>
      </w:tr>
      <w:tr>
        <w:trPr>
          <w:trHeight w:val="174"/>
        </w:trPr>
        <w:tc>
          <w:tcPr>
            <w:tcW w:w="45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Non-GAAP net income attributable to ordinary</w:t>
            </w:r>
          </w:p>
        </w:tc>
        <w:tc>
          <w:tcPr>
            <w:tcW w:w="7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17,243</w:t>
            </w:r>
          </w:p>
        </w:tc>
        <w:tc>
          <w:tcPr>
            <w:tcW w:w="13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41,571</w:t>
            </w: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5,945</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87,614</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199,385</w:t>
            </w:r>
          </w:p>
        </w:tc>
        <w:tc>
          <w:tcPr>
            <w:tcW w:w="2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28,511</w:t>
            </w:r>
          </w:p>
        </w:tc>
        <w:tc>
          <w:tcPr>
            <w:tcW w:w="0" w:type="dxa"/>
            <w:vAlign w:val="bottom"/>
          </w:tcPr>
          <w:p>
            <w:pPr>
              <w:spacing w:after="0"/>
              <w:rPr>
                <w:sz w:val="1"/>
                <w:szCs w:val="1"/>
                <w:color w:val="auto"/>
              </w:rPr>
            </w:pPr>
          </w:p>
        </w:tc>
      </w:tr>
      <w:tr>
        <w:trPr>
          <w:trHeight w:val="432"/>
        </w:trPr>
        <w:tc>
          <w:tcPr>
            <w:tcW w:w="4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2026-03-17T07:57:40Z</dcterms:created>
  <dcterms:modified xsi:type="dcterms:W3CDTF">2026-03-17T07:57:40Z</dcterms:modified>
</cp:coreProperties>
</file>